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9360"/>
            <w:tcBorders>
              <w:top w:val="single" w:color="C9882C" w:sz="4"/>
              <w:left w:val="single" w:color="C9882C" w:sz="4"/>
              <w:bottom w:val="single" w:color="C9882C" w:sz="4"/>
              <w:right w:val="single" w:color="C9882C" w:sz="4"/>
            </w:tcBorders>
            <w:shd w:fill="FFF3E0" w:val="clear"/>
            <w:tcMar>
              <w:top w:type="dxa" w:w="160"/>
              <w:left w:type="dxa" w:w="200"/>
              <w:bottom w:type="dxa" w:w="160"/>
              <w:right w:type="dxa" w:w="200"/>
            </w:tcMar>
          </w:tcPr>
          <w:p>
            <w:r>
              <w:rPr>
                <w:rFonts w:ascii="Arial" w:cs="Arial" w:eastAsia="Arial" w:hAnsi="Arial"/>
                <w:b/>
                <w:bCs/>
                <w:color w:val="8B5E2F"/>
                <w:sz w:val="21"/>
                <w:szCs w:val="21"/>
              </w:rPr>
              <w:t xml:space="preserve">STATUS DOKUMEN: RANCANGAN TEKNIS — BUKAN PRODUK HUKUM RESMI</w:t>
            </w:r>
          </w:p>
          <w:p>
            <w:pPr>
              <w:spacing w:before="80"/>
            </w:pPr>
            <w:r>
              <w:rPr>
                <w:rFonts w:ascii="Arial" w:cs="Arial" w:eastAsia="Arial" w:hAnsi="Arial"/>
                <w:i/>
                <w:iCs/>
                <w:sz w:val="18"/>
                <w:szCs w:val="18"/>
              </w:rPr>
              <w:t xml:space="preserve">Dokumen ini adalah bahan usulan teknis untuk mempercepat proses formal, bukan pengganti proses formal itu sendiri. Sebelum berkekuatan hukum, rancangan ini wajib melalui: (1) harmonisasi oleh Biro Hukum lembaga terkait, (2) pengecekan kesesuaian dengan peraturan yang lebih tinggi, (3) sesuai jenisnya, konsultasi publik dan/atau pembahasan lintas-kementerian, dan (4) pengundangan resmi. Ketentuan sanksi di dalamnya dibatasi pada kewenangan administratif yang sesuai dengan jenis dan jenjang lembaga penerbit; sanksi pidana hanya dapat diatur oleh undang-undang.</w:t>
            </w:r>
          </w:p>
        </w:tc>
      </w:tr>
    </w:tbl>
    <w:p>
      <w:pPr>
        <w:spacing w:after="40" w:before="200"/>
        <w:jc w:val="center"/>
      </w:pPr>
      <w:r>
        <w:rPr>
          <w:rFonts w:ascii="Arial" w:cs="Arial" w:eastAsia="Arial" w:hAnsi="Arial"/>
          <w:b/>
          <w:bCs/>
          <w:color w:val="8B5E2F"/>
          <w:sz w:val="20"/>
          <w:szCs w:val="20"/>
        </w:rPr>
        <w:t xml:space="preserve">DOKUMEN 5.3 — LINTAS-KLASTER</w:t>
      </w:r>
    </w:p>
    <w:p>
      <w:pPr>
        <w:spacing w:after="6"/>
        <w:jc w:val="center"/>
      </w:pPr>
      <w:r>
        <w:rPr>
          <w:rFonts w:ascii="Arial" w:cs="Arial" w:eastAsia="Arial" w:hAnsi="Arial"/>
          <w:color w:val="4B5A60"/>
          <w:sz w:val="22"/>
          <w:szCs w:val="22"/>
        </w:rPr>
        <w:t xml:space="preserve">Bahan Usulan Teknis — Pelengkap Hasil Audit Kecukupan, Juni 2026</w:t>
      </w:r>
    </w:p>
    <w:p>
      <w:pPr>
        <w:spacing w:after="200"/>
        <w:jc w:val="center"/>
      </w:pPr>
      <w:r>
        <w:rPr>
          <w:rFonts w:ascii="Cambria" w:cs="Cambria" w:eastAsia="Cambria" w:hAnsi="Cambria"/>
          <w:b/>
          <w:bCs/>
          <w:color w:val="1F3A4D"/>
          <w:sz w:val="30"/>
          <w:szCs w:val="30"/>
        </w:rPr>
        <w:t xml:space="preserve">Matriks Ketergantungan dan Indeks Induk 22 Dokumen Lampiran</w:t>
      </w:r>
    </w:p>
    <w:p>
      <w:pPr>
        <w:pStyle w:val="Heading2"/>
        <w:spacing w:after="120" w:before="240"/>
      </w:pPr>
      <w:r>
        <w:t xml:space="preserve">Latar Belakang</w:t>
      </w:r>
    </w:p>
    <w:p>
      <w:pPr>
        <w:spacing w:after="200"/>
      </w:pPr>
      <w:r>
        <w:rPr>
          <w:rFonts w:ascii="Arial" w:cs="Arial" w:eastAsia="Arial" w:hAnsi="Arial"/>
          <w:sz w:val="22"/>
          <w:szCs w:val="22"/>
        </w:rPr>
        <w:t xml:space="preserve">22 dokumen lampiran memiliki keterkaitan urutan satu sama lain yang, jika tidak dipetakan, berisiko dieksekusi tidak berurutan sehingga menimbulkan kekosongan hukum sementara. Diperlukan satu dokumen indeks tunggal yang dapat dibaca sekilas oleh pengambil keputusan untuk memahami keseluruhan paket kebijakan tanpa membuka 22 berkas satu per satu.</w:t>
      </w:r>
    </w:p>
    <w:p>
      <w:pPr>
        <w:pStyle w:val="Heading2"/>
        <w:spacing w:after="120" w:before="240"/>
      </w:pPr>
      <w:r>
        <w:t xml:space="preserve">Indeks Induk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dxa" w:w="1200"/>
            <w:shd w:fill="1F3A4D" w:val="clear"/>
            <w:tcMar>
              <w:top w:type="dxa" w:w="80"/>
              <w:left w:type="dxa" w:w="100"/>
              <w:bottom w:type="dxa" w:w="80"/>
              <w:right w:type="dxa" w:w="100"/>
            </w:tcMar>
          </w:tcPr>
          <w:p>
            <w:r>
              <w:rPr>
                <w:rFonts w:ascii="Arial" w:cs="Arial" w:eastAsia="Arial" w:hAnsi="Arial"/>
                <w:b/>
                <w:bCs/>
                <w:color w:val="FFFFFF"/>
                <w:sz w:val="18"/>
                <w:szCs w:val="18"/>
              </w:rPr>
              <w:t xml:space="preserve">Kode</w:t>
            </w:r>
          </w:p>
        </w:tc>
        <w:tc>
          <w:tcPr>
            <w:tcW w:type="dxa" w:w="6360"/>
            <w:shd w:fill="1F3A4D" w:val="clear"/>
            <w:tcMar>
              <w:top w:type="dxa" w:w="80"/>
              <w:left w:type="dxa" w:w="100"/>
              <w:bottom w:type="dxa" w:w="80"/>
              <w:right w:type="dxa" w:w="100"/>
            </w:tcMar>
          </w:tcPr>
          <w:p>
            <w:r>
              <w:rPr>
                <w:rFonts w:ascii="Arial" w:cs="Arial" w:eastAsia="Arial" w:hAnsi="Arial"/>
                <w:b/>
                <w:bCs/>
                <w:color w:val="FFFFFF"/>
                <w:sz w:val="18"/>
                <w:szCs w:val="18"/>
              </w:rPr>
              <w:t xml:space="preserve">Judul Singkat</w:t>
            </w:r>
          </w:p>
        </w:tc>
        <w:tc>
          <w:tcPr>
            <w:tcW w:type="dxa" w:w="1800"/>
            <w:shd w:fill="1F3A4D" w:val="clear"/>
            <w:tcMar>
              <w:top w:type="dxa" w:w="80"/>
              <w:left w:type="dxa" w:w="100"/>
              <w:bottom w:type="dxa" w:w="80"/>
              <w:right w:type="dxa" w:w="100"/>
            </w:tcMar>
          </w:tcPr>
          <w:p>
            <w:r>
              <w:rPr>
                <w:rFonts w:ascii="Arial" w:cs="Arial" w:eastAsia="Arial" w:hAnsi="Arial"/>
                <w:b/>
                <w:bCs/>
                <w:color w:val="FFFFFF"/>
                <w:sz w:val="18"/>
                <w:szCs w:val="18"/>
              </w:rPr>
              <w:t xml:space="preserve">Untuk</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1.1</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Peraturan Kolegium — Pemisahan Otoritas</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Kolegium</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1.2</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Permenkes — Pedoman RS/FK</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RS Pendidikan &amp; FK</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1.3</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Peraturan KKI — Eskalasi Sanksi</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KKI</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1.4</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SOP Investigasi Itjen</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Itjen Kemenkes</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1.5</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Pedoman Perlindungan Pelapor</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Institusi Pendidikan &amp; Itjen</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2.1</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Permenkes — Insentif &amp; SIP</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Kemenkes</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2.2</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Nota Anggaran</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Kemenkeu</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2.3</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SKB 3 Menteri — Penempatan ASN</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PANRB &amp; Kemendagri</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2.4</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Pedoman Kepatuhan Profesi</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IDI &amp; Kolegium</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2.5</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TOR Kajian Pembatasan SIP</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Tim Kajian Kemenkes</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3.1</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Daftar 3 Permenkes Turunan PP 28/2024</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Kemenkes</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3.2</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Rencana Aksi Formasi</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PANRB</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3.3</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Rencana Aksi Kepatuhan Daerah</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Kemendagri</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3.4</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Pedoman Kerja Sama Kurikulum</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Universitas/FK</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3.5</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Pedoman Sistem Informasi</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Unit SI Kemenkes</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4.1</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Permenkes — Jabatan Fungsional Primer</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Kemenkes</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4.2</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Pedoman Pengakuan Kompetensi</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Kolegium</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4.3</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Pedoman Pendidikan Berbasis Kerja</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Universitas</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4.4</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Pedoman Dukungan Profesi</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IDI</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4.5</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Peraturan Bersama — Jabfung</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PANRB</w:t>
            </w:r>
          </w:p>
        </w:tc>
      </w:tr>
      <w:tr>
        <w:tc>
          <w:tcPr>
            <w:tcW w:type="dxa" w:w="1200"/>
            <w:shd w:fill="F2F4EF" w:val="clear"/>
            <w:tcMar>
              <w:top w:type="dxa" w:w="80"/>
              <w:left w:type="dxa" w:w="100"/>
              <w:bottom w:type="dxa" w:w="80"/>
              <w:right w:type="dxa" w:w="100"/>
            </w:tcMar>
          </w:tcPr>
          <w:p>
            <w:r>
              <w:rPr>
                <w:rFonts w:ascii="Arial" w:cs="Arial" w:eastAsia="Arial" w:hAnsi="Arial"/>
                <w:sz w:val="18"/>
                <w:szCs w:val="18"/>
              </w:rPr>
              <w:t xml:space="preserve">5.1</w:t>
            </w:r>
          </w:p>
        </w:tc>
        <w:tc>
          <w:tcPr>
            <w:tcW w:type="dxa" w:w="6360"/>
            <w:shd w:fill="F2F4EF" w:val="clear"/>
            <w:tcMar>
              <w:top w:type="dxa" w:w="80"/>
              <w:left w:type="dxa" w:w="100"/>
              <w:bottom w:type="dxa" w:w="80"/>
              <w:right w:type="dxa" w:w="100"/>
            </w:tcMar>
          </w:tcPr>
          <w:p>
            <w:r>
              <w:rPr>
                <w:rFonts w:ascii="Arial" w:cs="Arial" w:eastAsia="Arial" w:hAnsi="Arial"/>
                <w:sz w:val="18"/>
                <w:szCs w:val="18"/>
              </w:rPr>
              <w:t xml:space="preserve">Register Risiko</w:t>
            </w:r>
          </w:p>
        </w:tc>
        <w:tc>
          <w:tcPr>
            <w:tcW w:type="dxa" w:w="1800"/>
            <w:shd w:fill="F2F4EF" w:val="clear"/>
            <w:tcMar>
              <w:top w:type="dxa" w:w="80"/>
              <w:left w:type="dxa" w:w="100"/>
              <w:bottom w:type="dxa" w:w="80"/>
              <w:right w:type="dxa" w:w="100"/>
            </w:tcMar>
          </w:tcPr>
          <w:p>
            <w:r>
              <w:rPr>
                <w:rFonts w:ascii="Arial" w:cs="Arial" w:eastAsia="Arial" w:hAnsi="Arial"/>
                <w:sz w:val="18"/>
                <w:szCs w:val="18"/>
              </w:rPr>
              <w:t xml:space="preserve">Unit Koordinator</w:t>
            </w:r>
          </w:p>
        </w:tc>
      </w:tr>
      <w:tr>
        <w:tc>
          <w:tcPr>
            <w:tcW w:type="dxa" w:w="1200"/>
            <w:shd w:fill="FFFFFF" w:val="clear"/>
            <w:tcMar>
              <w:top w:type="dxa" w:w="80"/>
              <w:left w:type="dxa" w:w="100"/>
              <w:bottom w:type="dxa" w:w="80"/>
              <w:right w:type="dxa" w:w="100"/>
            </w:tcMar>
          </w:tcPr>
          <w:p>
            <w:r>
              <w:rPr>
                <w:rFonts w:ascii="Arial" w:cs="Arial" w:eastAsia="Arial" w:hAnsi="Arial"/>
                <w:sz w:val="18"/>
                <w:szCs w:val="18"/>
              </w:rPr>
              <w:t xml:space="preserve">5.2</w:t>
            </w:r>
          </w:p>
        </w:tc>
        <w:tc>
          <w:tcPr>
            <w:tcW w:type="dxa" w:w="6360"/>
            <w:shd w:fill="FFFFFF" w:val="clear"/>
            <w:tcMar>
              <w:top w:type="dxa" w:w="80"/>
              <w:left w:type="dxa" w:w="100"/>
              <w:bottom w:type="dxa" w:w="80"/>
              <w:right w:type="dxa" w:w="100"/>
            </w:tcMar>
          </w:tcPr>
          <w:p>
            <w:r>
              <w:rPr>
                <w:rFonts w:ascii="Arial" w:cs="Arial" w:eastAsia="Arial" w:hAnsi="Arial"/>
                <w:sz w:val="18"/>
                <w:szCs w:val="18"/>
              </w:rPr>
              <w:t xml:space="preserve">Pedoman M&amp;E</w:t>
            </w:r>
          </w:p>
        </w:tc>
        <w:tc>
          <w:tcPr>
            <w:tcW w:type="dxa" w:w="1800"/>
            <w:shd w:fill="FFFFFF" w:val="clear"/>
            <w:tcMar>
              <w:top w:type="dxa" w:w="80"/>
              <w:left w:type="dxa" w:w="100"/>
              <w:bottom w:type="dxa" w:w="80"/>
              <w:right w:type="dxa" w:w="100"/>
            </w:tcMar>
          </w:tcPr>
          <w:p>
            <w:r>
              <w:rPr>
                <w:rFonts w:ascii="Arial" w:cs="Arial" w:eastAsia="Arial" w:hAnsi="Arial"/>
                <w:sz w:val="18"/>
                <w:szCs w:val="18"/>
              </w:rPr>
              <w:t xml:space="preserve">Unit Koordinator</w:t>
            </w:r>
          </w:p>
        </w:tc>
      </w:tr>
    </w:tbl>
    <w:p>
      <w:pPr>
        <w:pStyle w:val="Heading2"/>
        <w:spacing w:after="120" w:before="240"/>
      </w:pPr>
      <w:r>
        <w:t xml:space="preserve">Matriks Ketergantungan (Mana yang Harus Selesai Lebih Dulu)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c>
          <w:tcPr>
            <w:tcW w:type="dxa" w:w="2200"/>
            <w:shd w:fill="1F3A4D" w:val="clear"/>
            <w:tcMar>
              <w:top w:type="dxa" w:w="80"/>
              <w:left w:type="dxa" w:w="100"/>
              <w:bottom w:type="dxa" w:w="80"/>
              <w:right w:type="dxa" w:w="100"/>
            </w:tcMar>
          </w:tcPr>
          <w:p>
            <w:r>
              <w:rPr>
                <w:rFonts w:ascii="Arial" w:cs="Arial" w:eastAsia="Arial" w:hAnsi="Arial"/>
                <w:b/>
                <w:bCs/>
                <w:color w:val="FFFFFF"/>
                <w:sz w:val="18"/>
                <w:szCs w:val="18"/>
              </w:rPr>
              <w:t xml:space="preserve">Dokumen</w:t>
            </w:r>
          </w:p>
        </w:tc>
        <w:tc>
          <w:tcPr>
            <w:tcW w:type="dxa" w:w="2200"/>
            <w:shd w:fill="1F3A4D" w:val="clear"/>
            <w:tcMar>
              <w:top w:type="dxa" w:w="80"/>
              <w:left w:type="dxa" w:w="100"/>
              <w:bottom w:type="dxa" w:w="80"/>
              <w:right w:type="dxa" w:w="100"/>
            </w:tcMar>
          </w:tcPr>
          <w:p>
            <w:r>
              <w:rPr>
                <w:rFonts w:ascii="Arial" w:cs="Arial" w:eastAsia="Arial" w:hAnsi="Arial"/>
                <w:b/>
                <w:bCs/>
                <w:color w:val="FFFFFF"/>
                <w:sz w:val="18"/>
                <w:szCs w:val="18"/>
              </w:rPr>
              <w:t xml:space="preserve">Bergantung Pada</w:t>
            </w:r>
          </w:p>
        </w:tc>
        <w:tc>
          <w:tcPr>
            <w:tcW w:type="dxa" w:w="4960"/>
            <w:shd w:fill="1F3A4D" w:val="clear"/>
            <w:tcMar>
              <w:top w:type="dxa" w:w="80"/>
              <w:left w:type="dxa" w:w="100"/>
              <w:bottom w:type="dxa" w:w="80"/>
              <w:right w:type="dxa" w:w="100"/>
            </w:tcMar>
          </w:tcPr>
          <w:p>
            <w:r>
              <w:rPr>
                <w:rFonts w:ascii="Arial" w:cs="Arial" w:eastAsia="Arial" w:hAnsi="Arial"/>
                <w:b/>
                <w:bCs/>
                <w:color w:val="FFFFFF"/>
                <w:sz w:val="18"/>
                <w:szCs w:val="18"/>
              </w:rPr>
              <w:t xml:space="preserve">Alasan</w:t>
            </w:r>
          </w:p>
        </w:tc>
      </w:tr>
      <w:tr>
        <w:tc>
          <w:tcPr>
            <w:tcW w:type="dxa" w:w="2200"/>
            <w:shd w:fill="F2F4EF" w:val="clear"/>
            <w:tcMar>
              <w:top w:type="dxa" w:w="80"/>
              <w:left w:type="dxa" w:w="100"/>
              <w:bottom w:type="dxa" w:w="80"/>
              <w:right w:type="dxa" w:w="100"/>
            </w:tcMar>
          </w:tcPr>
          <w:p>
            <w:r>
              <w:rPr>
                <w:rFonts w:ascii="Arial" w:cs="Arial" w:eastAsia="Arial" w:hAnsi="Arial"/>
                <w:sz w:val="18"/>
                <w:szCs w:val="18"/>
              </w:rPr>
              <w:t xml:space="preserve">2.1 (Permenkes SIP)</w:t>
            </w:r>
          </w:p>
        </w:tc>
        <w:tc>
          <w:tcPr>
            <w:tcW w:type="dxa" w:w="2200"/>
            <w:shd w:fill="F2F4EF" w:val="clear"/>
            <w:tcMar>
              <w:top w:type="dxa" w:w="80"/>
              <w:left w:type="dxa" w:w="100"/>
              <w:bottom w:type="dxa" w:w="80"/>
              <w:right w:type="dxa" w:w="100"/>
            </w:tcMar>
          </w:tcPr>
          <w:p>
            <w:r>
              <w:rPr>
                <w:rFonts w:ascii="Arial" w:cs="Arial" w:eastAsia="Arial" w:hAnsi="Arial"/>
                <w:sz w:val="18"/>
                <w:szCs w:val="18"/>
              </w:rPr>
              <w:t xml:space="preserve">2.5 (TOR Kajian SIP)</w:t>
            </w:r>
          </w:p>
        </w:tc>
        <w:tc>
          <w:tcPr>
            <w:tcW w:type="dxa" w:w="4960"/>
            <w:shd w:fill="F2F4EF" w:val="clear"/>
            <w:tcMar>
              <w:top w:type="dxa" w:w="80"/>
              <w:left w:type="dxa" w:w="100"/>
              <w:bottom w:type="dxa" w:w="80"/>
              <w:right w:type="dxa" w:w="100"/>
            </w:tcMar>
          </w:tcPr>
          <w:p>
            <w:r>
              <w:rPr>
                <w:rFonts w:ascii="Arial" w:cs="Arial" w:eastAsia="Arial" w:hAnsi="Arial"/>
                <w:sz w:val="18"/>
                <w:szCs w:val="18"/>
              </w:rPr>
              <w:t xml:space="preserve">Pasal 3 Dokumen 2.1 mensyaratkan hasil kajian sebelum kebijakan final ditetapkan</w:t>
            </w:r>
          </w:p>
        </w:tc>
      </w:tr>
      <w:tr>
        <w:tc>
          <w:tcPr>
            <w:tcW w:type="dxa" w:w="2200"/>
            <w:shd w:fill="FFFFFF" w:val="clear"/>
            <w:tcMar>
              <w:top w:type="dxa" w:w="80"/>
              <w:left w:type="dxa" w:w="100"/>
              <w:bottom w:type="dxa" w:w="80"/>
              <w:right w:type="dxa" w:w="100"/>
            </w:tcMar>
          </w:tcPr>
          <w:p>
            <w:r>
              <w:rPr>
                <w:rFonts w:ascii="Arial" w:cs="Arial" w:eastAsia="Arial" w:hAnsi="Arial"/>
                <w:sz w:val="18"/>
                <w:szCs w:val="18"/>
              </w:rPr>
              <w:t xml:space="preserve">3.1 Pasal 3 (Surat Tugas)</w:t>
            </w:r>
          </w:p>
        </w:tc>
        <w:tc>
          <w:tcPr>
            <w:tcW w:type="dxa" w:w="2200"/>
            <w:shd w:fill="FFFFFF" w:val="clear"/>
            <w:tcMar>
              <w:top w:type="dxa" w:w="80"/>
              <w:left w:type="dxa" w:w="100"/>
              <w:bottom w:type="dxa" w:w="80"/>
              <w:right w:type="dxa" w:w="100"/>
            </w:tcMar>
          </w:tcPr>
          <w:p>
            <w:r>
              <w:rPr>
                <w:rFonts w:ascii="Arial" w:cs="Arial" w:eastAsia="Arial" w:hAnsi="Arial"/>
                <w:sz w:val="18"/>
                <w:szCs w:val="18"/>
              </w:rPr>
              <w:t xml:space="preserve">3.5 (Sistem Informasi)</w:t>
            </w:r>
          </w:p>
        </w:tc>
        <w:tc>
          <w:tcPr>
            <w:tcW w:type="dxa" w:w="4960"/>
            <w:shd w:fill="FFFFFF" w:val="clear"/>
            <w:tcMar>
              <w:top w:type="dxa" w:w="80"/>
              <w:left w:type="dxa" w:w="100"/>
              <w:bottom w:type="dxa" w:w="80"/>
              <w:right w:type="dxa" w:w="100"/>
            </w:tcMar>
          </w:tcPr>
          <w:p>
            <w:r>
              <w:rPr>
                <w:rFonts w:ascii="Arial" w:cs="Arial" w:eastAsia="Arial" w:hAnsi="Arial"/>
                <w:sz w:val="18"/>
                <w:szCs w:val="18"/>
              </w:rPr>
              <w:t xml:space="preserve">Mekanisme surat tugas memerlukan basis data yang berfungsi, bukan hanya aturan di atas kertas</w:t>
            </w:r>
          </w:p>
        </w:tc>
      </w:tr>
      <w:tr>
        <w:tc>
          <w:tcPr>
            <w:tcW w:type="dxa" w:w="2200"/>
            <w:shd w:fill="F2F4EF" w:val="clear"/>
            <w:tcMar>
              <w:top w:type="dxa" w:w="80"/>
              <w:left w:type="dxa" w:w="100"/>
              <w:bottom w:type="dxa" w:w="80"/>
              <w:right w:type="dxa" w:w="100"/>
            </w:tcMar>
          </w:tcPr>
          <w:p>
            <w:r>
              <w:rPr>
                <w:rFonts w:ascii="Arial" w:cs="Arial" w:eastAsia="Arial" w:hAnsi="Arial"/>
                <w:sz w:val="18"/>
                <w:szCs w:val="18"/>
              </w:rPr>
              <w:t xml:space="preserve">4.1 (Permenkes Jabfung)</w:t>
            </w:r>
          </w:p>
        </w:tc>
        <w:tc>
          <w:tcPr>
            <w:tcW w:type="dxa" w:w="2200"/>
            <w:shd w:fill="F2F4EF" w:val="clear"/>
            <w:tcMar>
              <w:top w:type="dxa" w:w="80"/>
              <w:left w:type="dxa" w:w="100"/>
              <w:bottom w:type="dxa" w:w="80"/>
              <w:right w:type="dxa" w:w="100"/>
            </w:tcMar>
          </w:tcPr>
          <w:p>
            <w:r>
              <w:rPr>
                <w:rFonts w:ascii="Arial" w:cs="Arial" w:eastAsia="Arial" w:hAnsi="Arial"/>
                <w:sz w:val="18"/>
                <w:szCs w:val="18"/>
              </w:rPr>
              <w:t xml:space="preserve">4.5 (Peraturan Bersama PANRB)</w:t>
            </w:r>
          </w:p>
        </w:tc>
        <w:tc>
          <w:tcPr>
            <w:tcW w:type="dxa" w:w="4960"/>
            <w:shd w:fill="F2F4EF" w:val="clear"/>
            <w:tcMar>
              <w:top w:type="dxa" w:w="80"/>
              <w:left w:type="dxa" w:w="100"/>
              <w:bottom w:type="dxa" w:w="80"/>
              <w:right w:type="dxa" w:w="100"/>
            </w:tcMar>
          </w:tcPr>
          <w:p>
            <w:r>
              <w:rPr>
                <w:rFonts w:ascii="Arial" w:cs="Arial" w:eastAsia="Arial" w:hAnsi="Arial"/>
                <w:sz w:val="18"/>
                <w:szCs w:val="18"/>
              </w:rPr>
              <w:t xml:space="preserve">Pasal 2 Dokumen 4.5 menetapkan kajian penyetaraan angka kredit sebagai syarat Dokumen 4.1 berlaku efektif</w:t>
            </w:r>
          </w:p>
        </w:tc>
      </w:tr>
      <w:tr>
        <w:tc>
          <w:tcPr>
            <w:tcW w:type="dxa" w:w="2200"/>
            <w:shd w:fill="FFFFFF" w:val="clear"/>
            <w:tcMar>
              <w:top w:type="dxa" w:w="80"/>
              <w:left w:type="dxa" w:w="100"/>
              <w:bottom w:type="dxa" w:w="80"/>
              <w:right w:type="dxa" w:w="100"/>
            </w:tcMar>
          </w:tcPr>
          <w:p>
            <w:r>
              <w:rPr>
                <w:rFonts w:ascii="Arial" w:cs="Arial" w:eastAsia="Arial" w:hAnsi="Arial"/>
                <w:sz w:val="18"/>
                <w:szCs w:val="18"/>
              </w:rPr>
              <w:t xml:space="preserve">2.3 (SKB Penempatan ASN)</w:t>
            </w:r>
          </w:p>
        </w:tc>
        <w:tc>
          <w:tcPr>
            <w:tcW w:type="dxa" w:w="2200"/>
            <w:shd w:fill="FFFFFF" w:val="clear"/>
            <w:tcMar>
              <w:top w:type="dxa" w:w="80"/>
              <w:left w:type="dxa" w:w="100"/>
              <w:bottom w:type="dxa" w:w="80"/>
              <w:right w:type="dxa" w:w="100"/>
            </w:tcMar>
          </w:tcPr>
          <w:p>
            <w:r>
              <w:rPr>
                <w:rFonts w:ascii="Arial" w:cs="Arial" w:eastAsia="Arial" w:hAnsi="Arial"/>
                <w:sz w:val="18"/>
                <w:szCs w:val="18"/>
              </w:rPr>
              <w:t xml:space="preserve">3.1 (Daftar Permenkes)</w:t>
            </w:r>
          </w:p>
        </w:tc>
        <w:tc>
          <w:tcPr>
            <w:tcW w:type="dxa" w:w="4960"/>
            <w:shd w:fill="FFFFFF" w:val="clear"/>
            <w:tcMar>
              <w:top w:type="dxa" w:w="80"/>
              <w:left w:type="dxa" w:w="100"/>
              <w:bottom w:type="dxa" w:w="80"/>
              <w:right w:type="dxa" w:w="100"/>
            </w:tcMar>
          </w:tcPr>
          <w:p>
            <w:r>
              <w:rPr>
                <w:rFonts w:ascii="Arial" w:cs="Arial" w:eastAsia="Arial" w:hAnsi="Arial"/>
                <w:sz w:val="18"/>
                <w:szCs w:val="18"/>
              </w:rPr>
              <w:t xml:space="preserve">Daftar fasilitas prioritas pada Pasal 1 Dokumen 2.3 mengacu pada data yang diatur penyusunannya di Dokumen 3.1</w:t>
            </w:r>
          </w:p>
        </w:tc>
      </w:tr>
      <w:tr>
        <w:tc>
          <w:tcPr>
            <w:tcW w:type="dxa" w:w="2200"/>
            <w:shd w:fill="F2F4EF" w:val="clear"/>
            <w:tcMar>
              <w:top w:type="dxa" w:w="80"/>
              <w:left w:type="dxa" w:w="100"/>
              <w:bottom w:type="dxa" w:w="80"/>
              <w:right w:type="dxa" w:w="100"/>
            </w:tcMar>
          </w:tcPr>
          <w:p>
            <w:r>
              <w:rPr>
                <w:rFonts w:ascii="Arial" w:cs="Arial" w:eastAsia="Arial" w:hAnsi="Arial"/>
                <w:sz w:val="18"/>
                <w:szCs w:val="18"/>
              </w:rPr>
              <w:t xml:space="preserve">1.3 (Eskalasi KKI)</w:t>
            </w:r>
          </w:p>
        </w:tc>
        <w:tc>
          <w:tcPr>
            <w:tcW w:type="dxa" w:w="2200"/>
            <w:shd w:fill="F2F4EF" w:val="clear"/>
            <w:tcMar>
              <w:top w:type="dxa" w:w="80"/>
              <w:left w:type="dxa" w:w="100"/>
              <w:bottom w:type="dxa" w:w="80"/>
              <w:right w:type="dxa" w:w="100"/>
            </w:tcMar>
          </w:tcPr>
          <w:p>
            <w:r>
              <w:rPr>
                <w:rFonts w:ascii="Arial" w:cs="Arial" w:eastAsia="Arial" w:hAnsi="Arial"/>
                <w:sz w:val="18"/>
                <w:szCs w:val="18"/>
              </w:rPr>
              <w:t xml:space="preserve">1.4 (SOP Itjen)</w:t>
            </w:r>
          </w:p>
        </w:tc>
        <w:tc>
          <w:tcPr>
            <w:tcW w:type="dxa" w:w="4960"/>
            <w:shd w:fill="F2F4EF" w:val="clear"/>
            <w:tcMar>
              <w:top w:type="dxa" w:w="80"/>
              <w:left w:type="dxa" w:w="100"/>
              <w:bottom w:type="dxa" w:w="80"/>
              <w:right w:type="dxa" w:w="100"/>
            </w:tcMar>
          </w:tcPr>
          <w:p>
            <w:r>
              <w:rPr>
                <w:rFonts w:ascii="Arial" w:cs="Arial" w:eastAsia="Arial" w:hAnsi="Arial"/>
                <w:sz w:val="18"/>
                <w:szCs w:val="18"/>
              </w:rPr>
              <w:t xml:space="preserve">Kriteria eskalasi pada Pasal 1 Dokumen 1.3 mensyaratkan proses investigasi awal yang diatur tata caranya di Dokumen 1.4</w:t>
            </w:r>
          </w:p>
        </w:tc>
      </w:tr>
    </w:tbl>
    <w:p>
      <w:pPr>
        <w:pStyle w:val="Heading2"/>
        <w:spacing w:after="120" w:before="240"/>
      </w:pPr>
      <w:r>
        <w:t xml:space="preserve">Cara Membaca Dokumen Ini</w:t>
      </w:r>
    </w:p>
    <w:p>
      <w:pPr>
        <w:spacing w:after="160"/>
      </w:pPr>
      <w:r>
        <w:rPr>
          <w:rFonts w:ascii="Arial" w:cs="Arial" w:eastAsia="Arial" w:hAnsi="Arial"/>
          <w:sz w:val="22"/>
          <w:szCs w:val="22"/>
        </w:rPr>
        <w:t xml:space="preserve">Bagi pengambil keputusan yang hanya memiliki waktu terbatas: mulai dari kolom "Bergantung Pada" di atas — dokumen yang menjadi prasyarat sebaiknya diproses lebih dulu agar dokumen yang bergantung padanya tidak menunggu tanpa dasar. Di luar lima pasangan ketergantungan eksplisit ini, ke-22 dokumen dapat diproses secara paralel oleh masing-masing lembaga tujuan tanpa saling menunggu.</w:t>
      </w:r>
    </w:p>
    <w:sectPr>
      <w:headerReference w:type="default" r:id="rId7"/>
      <w:footerReference w:type="default" r:id="rId8"/>
      <w:pgSz w:w="12240" w:h="15840" w:orient="portrait"/>
      <w:pgMar w:top="1300" w:right="1300" w:bottom="13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6"/>
        <w:szCs w:val="16"/>
      </w:rPr>
      <w:t xml:space="preserve">Halaman </w:t>
    </w:r>
    <w:r>
      <w:rPr>
        <w:rFonts w:ascii="Arial" w:cs="Arial" w:eastAsia="Arial" w:hAnsi="Arial"/>
        <w:color w:val="999999"/>
        <w:sz w:val="16"/>
        <w:szCs w:val="16"/>
      </w:rPr>
      <w:fldChar w:fldCharType="begin"/>
      <w:instrText xml:space="preserve">PAGE</w:instrText>
      <w:fldChar w:fldCharType="separate"/>
      <w:fldChar w:fldCharType="end"/>
    </w:r>
    <w:r>
      <w:rPr>
        <w:rFonts w:ascii="Arial" w:cs="Arial" w:eastAsia="Arial" w:hAnsi="Arial"/>
        <w:color w:val="999999"/>
        <w:sz w:val="16"/>
        <w:szCs w:val="16"/>
      </w:rPr>
      <w:t xml:space="preserve"> dari </w:t>
    </w:r>
    <w:r>
      <w:rPr>
        <w:rFonts w:ascii="Arial" w:cs="Arial" w:eastAsia="Arial" w:hAnsi="Arial"/>
        <w:color w:val="99999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rFonts w:ascii="Arial" w:cs="Arial" w:eastAsia="Arial" w:hAnsi="Arial"/>
        <w:color w:val="999999"/>
        <w:sz w:val="16"/>
        <w:szCs w:val="16"/>
      </w:rPr>
      <w:t xml:space="preserve">Lintas-Klaster — Edisi Juni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200"/>
    </w:pPr>
    <w:rPr>
      <w:rFonts w:ascii="Arial" w:cs="Arial" w:eastAsia="Arial" w:hAnsi="Arial"/>
      <w:b/>
      <w:bCs/>
      <w:color w:val="1F3A4D"/>
      <w:sz w:val="26"/>
      <w:szCs w:val="26"/>
    </w:rPr>
  </w:style>
  <w:style w:type="paragraph" w:styleId="Heading2">
    <w:name w:val="Heading 2"/>
    <w:basedOn w:val="Normal"/>
    <w:next w:val="Normal"/>
    <w:qFormat/>
    <w:pPr>
      <w:spacing w:after="100" w:before="160"/>
    </w:pPr>
    <w:rPr>
      <w:rFonts w:ascii="Arial" w:cs="Arial" w:eastAsia="Arial" w:hAnsi="Arial"/>
      <w:b/>
      <w:bCs/>
      <w:color w:val="8B5E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2026-06-28T14:37:26.373Z</dcterms:created>
  <dcterms:modified xsi:type="dcterms:W3CDTF">2026-06-28T14:37:26.374Z</dcterms:modified>
</cp:coreProperties>
</file>

<file path=docProps/custom.xml><?xml version="1.0" encoding="utf-8"?>
<Properties xmlns="http://schemas.openxmlformats.org/officeDocument/2006/custom-properties" xmlns:vt="http://schemas.openxmlformats.org/officeDocument/2006/docPropsVTypes"/>
</file>