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5.2 — LINTAS-KLASTER</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Pedoman Monitoring dan Evaluasi: Baseline dan Target Indikator Keberhasilan</w:t>
      </w:r>
    </w:p>
    <w:p>
      <w:pPr>
        <w:pStyle w:val="Heading2"/>
        <w:spacing w:after="120" w:before="240"/>
      </w:pPr>
      <w:r>
        <w:t xml:space="preserve">Latar Belakang</w:t>
      </w:r>
    </w:p>
    <w:p>
      <w:pPr>
        <w:spacing w:after="200"/>
      </w:pPr>
      <w:r>
        <w:rPr>
          <w:rFonts w:ascii="Arial" w:cs="Arial" w:eastAsia="Arial" w:hAnsi="Arial"/>
          <w:sz w:val="22"/>
          <w:szCs w:val="22"/>
        </w:rPr>
        <w:t xml:space="preserve">Indikator keberhasilan pada dokumen induk bersifat arah ("menurun", "meningkat") tanpa baseline dan target angka yang dapat diaudit, sebagaimana dicatat dalam Laporan Audit Kelayakan Bagian 4. Pemantauan kebijakan publik yang baik mensyaratkan baseline yang jelas, target waktu, dan penanggung jawab pengumpulan data.</w:t>
      </w:r>
    </w:p>
    <w:p>
      <w:pPr>
        <w:pStyle w:val="Heading2"/>
        <w:spacing w:after="120" w:before="240"/>
      </w:pPr>
      <w:r>
        <w:t xml:space="preserve">Tabel Baseline dan Target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Klaster</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Risiko</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Dampak</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Mitigasi</w:t>
            </w:r>
          </w:p>
        </w:tc>
        <w:tc>
          <w:tcPr>
            <w:tcW w:type="dxa" w:w="1872"/>
            <w:shd w:fill="1F3A4D" w:val="clear"/>
            <w:tcMar>
              <w:top w:type="dxa" w:w="80"/>
              <w:left w:type="dxa" w:w="100"/>
              <w:bottom w:type="dxa" w:w="80"/>
              <w:right w:type="dxa" w:w="100"/>
            </w:tcMar>
          </w:tcPr>
          <w:p>
            <w:r>
              <w:rPr>
                <w:rFonts w:ascii="Arial" w:cs="Arial" w:eastAsia="Arial" w:hAnsi="Arial"/>
                <w:b/>
                <w:bCs/>
                <w:color w:val="FFFFFF"/>
                <w:sz w:val="18"/>
                <w:szCs w:val="18"/>
              </w:rPr>
              <w:t xml:space="preserve">Pemilik Risiko</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KL-01</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Rasio kasus tertangani/terverifikasi</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16,9% (124/733, Agustus 2025)</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Naik menjadi minimal 60% dalam 18 bulan</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Itjen Kemenkes</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KL-02</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Rasio kesenjangan tunjangan tertinggi-terendah</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±26,7x (Rp80jt vs Rp3jt, contoh Mahakam Ulu-Bone)</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Turun minimal 30% dalam 3 tahun pada wilayah uji coba</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Biro Perencanaan Kemenkes</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KL-03</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Persentase puskesmas tanpa dokter</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4,17% (Juni 2023)</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Turun menjadi di bawah 2% dalam 3 tahun</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Pusat Data Kemenkes</w:t>
            </w:r>
          </w:p>
        </w:tc>
      </w:tr>
      <w:tr>
        <w:tc>
          <w:tcPr>
            <w:tcW w:type="dxa" w:w="1872"/>
            <w:shd w:fill="FFFFFF" w:val="clear"/>
            <w:tcMar>
              <w:top w:type="dxa" w:w="80"/>
              <w:left w:type="dxa" w:w="100"/>
              <w:bottom w:type="dxa" w:w="80"/>
              <w:right w:type="dxa" w:w="100"/>
            </w:tcMar>
          </w:tcPr>
          <w:p>
            <w:r>
              <w:rPr>
                <w:rFonts w:ascii="Arial" w:cs="Arial" w:eastAsia="Arial" w:hAnsi="Arial"/>
                <w:sz w:val="18"/>
                <w:szCs w:val="18"/>
              </w:rPr>
              <w:t xml:space="preserve">KL-03</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Persentase RSUD kab/kota kekurangan dokter spesialis</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38,48% (Juni 2023)</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Turun menjadi di bawah 25% dalam 3 tahun</w:t>
            </w:r>
          </w:p>
        </w:tc>
        <w:tc>
          <w:tcPr>
            <w:tcW w:type="dxa" w:w="1872"/>
            <w:shd w:fill="FFFFFF" w:val="clear"/>
            <w:tcMar>
              <w:top w:type="dxa" w:w="80"/>
              <w:left w:type="dxa" w:w="100"/>
              <w:bottom w:type="dxa" w:w="80"/>
              <w:right w:type="dxa" w:w="100"/>
            </w:tcMar>
          </w:tcPr>
          <w:p>
            <w:r>
              <w:rPr>
                <w:rFonts w:ascii="Arial" w:cs="Arial" w:eastAsia="Arial" w:hAnsi="Arial"/>
                <w:sz w:val="18"/>
                <w:szCs w:val="18"/>
              </w:rPr>
              <w:t xml:space="preserve">Pusat Data Kemenkes</w:t>
            </w:r>
          </w:p>
        </w:tc>
      </w:tr>
      <w:tr>
        <w:tc>
          <w:tcPr>
            <w:tcW w:type="dxa" w:w="1872"/>
            <w:shd w:fill="F2F4EF" w:val="clear"/>
            <w:tcMar>
              <w:top w:type="dxa" w:w="80"/>
              <w:left w:type="dxa" w:w="100"/>
              <w:bottom w:type="dxa" w:w="80"/>
              <w:right w:type="dxa" w:w="100"/>
            </w:tcMar>
          </w:tcPr>
          <w:p>
            <w:r>
              <w:rPr>
                <w:rFonts w:ascii="Arial" w:cs="Arial" w:eastAsia="Arial" w:hAnsi="Arial"/>
                <w:sz w:val="18"/>
                <w:szCs w:val="18"/>
              </w:rPr>
              <w:t xml:space="preserve">KL-04</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Tingkat retensi dokter primer pasca-ikatan dinas</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Belum terdata secara nasional (perlu baseline survey tahun pertama)</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Survei baseline tahun pertama, target retensi 70% pada tahun ketiga</w:t>
            </w:r>
          </w:p>
        </w:tc>
        <w:tc>
          <w:tcPr>
            <w:tcW w:type="dxa" w:w="1872"/>
            <w:shd w:fill="F2F4EF" w:val="clear"/>
            <w:tcMar>
              <w:top w:type="dxa" w:w="80"/>
              <w:left w:type="dxa" w:w="100"/>
              <w:bottom w:type="dxa" w:w="80"/>
              <w:right w:type="dxa" w:w="100"/>
            </w:tcMar>
          </w:tcPr>
          <w:p>
            <w:r>
              <w:rPr>
                <w:rFonts w:ascii="Arial" w:cs="Arial" w:eastAsia="Arial" w:hAnsi="Arial"/>
                <w:sz w:val="18"/>
                <w:szCs w:val="18"/>
              </w:rPr>
              <w:t xml:space="preserve">Biro Kepegawaian Kemenkes</w:t>
            </w:r>
          </w:p>
        </w:tc>
      </w:tr>
    </w:tbl>
    <w:p>
      <w:pPr>
        <w:pStyle w:val="Heading2"/>
        <w:spacing w:after="120" w:before="240"/>
      </w:pPr>
      <w:r>
        <w:t xml:space="preserve">Mekanisme Pelaporan</w:t>
      </w:r>
    </w:p>
    <w:p>
      <w:pPr>
        <w:spacing w:after="160"/>
      </w:pPr>
      <w:r>
        <w:rPr>
          <w:rFonts w:ascii="Arial" w:cs="Arial" w:eastAsia="Arial" w:hAnsi="Arial"/>
          <w:sz w:val="22"/>
          <w:szCs w:val="22"/>
        </w:rPr>
        <w:t xml:space="preserve">Setiap penanggung jawab data menyampaikan pemutakhiran angka kepada unit koordinator implementasi lintas-klaster setiap 6 (enam) bulan. Baseline yang belum tersedia (ditandai pada tabel di atas) wajib diisi melalui survei baseline pada tahun pertama pelaksanaan, sebelum target dapat dievaluasi pada tahun-tahun berikutnya.</w:t>
      </w:r>
    </w:p>
    <w:p>
      <w:pPr>
        <w:pStyle w:val="Heading2"/>
        <w:spacing w:after="120" w:before="240"/>
      </w:pPr>
      <w:r>
        <w:t xml:space="preserve">Ketentuan Penutup</w:t>
      </w:r>
    </w:p>
    <w:p>
      <w:pPr>
        <w:spacing w:after="200"/>
      </w:pPr>
      <w:r>
        <w:rPr>
          <w:rFonts w:ascii="Arial" w:cs="Arial" w:eastAsia="Arial" w:hAnsi="Arial"/>
          <w:sz w:val="22"/>
          <w:szCs w:val="22"/>
        </w:rPr>
        <w:t xml:space="preserve">Pedoman ini menjadi rujukan tunggal untuk seluruh pengukuran indikator keberhasilan pada Dokumen Pemetaan Masalah &amp; Solusi dan keempat lampiran klaster, menggantikan deskripsi arah kualitatif yang digunakan sebelumnya.</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Lintas-Klaster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2026-06-28T14:37:26.259Z</dcterms:created>
  <dcterms:modified xsi:type="dcterms:W3CDTF">2026-06-28T14:37:26.259Z</dcterms:modified>
</cp:coreProperties>
</file>

<file path=docProps/custom.xml><?xml version="1.0" encoding="utf-8"?>
<Properties xmlns="http://schemas.openxmlformats.org/officeDocument/2006/custom-properties" xmlns:vt="http://schemas.openxmlformats.org/officeDocument/2006/docPropsVTypes"/>
</file>