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dxa" w:w="9360"/>
            <w:tcBorders>
              <w:top w:val="single" w:color="C9882C" w:sz="4"/>
              <w:left w:val="single" w:color="C9882C" w:sz="4"/>
              <w:bottom w:val="single" w:color="C9882C" w:sz="4"/>
              <w:right w:val="single" w:color="C9882C" w:sz="4"/>
            </w:tcBorders>
            <w:shd w:fill="FFF3E0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8B5E2F"/>
                <w:sz w:val="21"/>
                <w:szCs w:val="21"/>
              </w:rPr>
              <w:t xml:space="preserve">STATUS DOKUMEN: RANCANGAN TEKNIS — BUKAN PRODUK HUKUM RESMI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Dokumen ini adalah bahan usulan teknis untuk mempercepat proses formal, bukan pengganti proses formal itu sendiri. Sebelum berkekuatan hukum, rancangan ini wajib melalui: (1) harmonisasi oleh Biro Hukum lembaga terkait, (2) pengecekan kesesuaian dengan peraturan yang lebih tinggi, (3) sesuai jenisnya, konsultasi publik dan/atau pembahasan lintas-kementerian, dan (4) pengundangan resmi. Ketentuan sanksi di dalamnya dibatasi pada kewenangan administratif yang sesuai dengan jenis dan jenjang lembaga penerbit; sanksi pidana hanya dapat diatur oleh undang-undang.</w:t>
            </w:r>
          </w:p>
        </w:tc>
      </w:tr>
    </w:tbl>
    <w:p>
      <w:pPr>
        <w:spacing w:after="40" w:before="200"/>
        <w:jc w:val="center"/>
      </w:pPr>
      <w:r>
        <w:rPr>
          <w:rFonts w:ascii="Arial" w:cs="Arial" w:eastAsia="Arial" w:hAnsi="Arial"/>
          <w:b/>
          <w:bCs/>
          <w:color w:val="8B5E2F"/>
          <w:sz w:val="20"/>
          <w:szCs w:val="20"/>
        </w:rPr>
        <w:t xml:space="preserve">DOKUMEN 5.2 — LINTAS-KLASTER</w:t>
      </w:r>
    </w:p>
    <w:p>
      <w:pPr>
        <w:spacing w:after="6"/>
        <w:jc w:val="center"/>
      </w:pPr>
      <w:r>
        <w:rPr>
          <w:rFonts w:ascii="Arial" w:cs="Arial" w:eastAsia="Arial" w:hAnsi="Arial"/>
          <w:color w:val="4B5A60"/>
          <w:sz w:val="22"/>
          <w:szCs w:val="22"/>
        </w:rPr>
        <w:t xml:space="preserve">Bahan Usulan Teknis — Pelengkap Hasil Audit Kecukupan, Juni 2026</w:t>
      </w:r>
    </w:p>
    <w:p>
      <w:pPr>
        <w:spacing w:after="200"/>
        <w:jc w:val="center"/>
      </w:pPr>
      <w:r>
        <w:rPr>
          <w:rFonts w:ascii="Cambria" w:cs="Cambria" w:eastAsia="Cambria" w:hAnsi="Cambria"/>
          <w:b/>
          <w:bCs/>
          <w:color w:val="1F3A4D"/>
          <w:sz w:val="30"/>
          <w:szCs w:val="30"/>
        </w:rPr>
        <w:t xml:space="preserve">Pedoman Monitoring dan Evaluasi: Baseline dan Target Indikator Keberhasilan</w:t>
      </w:r>
    </w:p>
    <w:p>
      <w:pPr>
        <w:pStyle w:val="Heading2"/>
        <w:spacing w:after="120" w:before="240"/>
      </w:pPr>
      <w:r>
        <w:t xml:space="preserve">Menimbang</w:t>
      </w:r>
    </w:p>
    <w:p>
      <w:pPr>
        <w:spacing w:after="80"/>
        <w:ind w:left="4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a.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bahwa indikator keberhasilan pada dokumen induk bersifat arah ("menurun", "meningkat") tanpa baseline dan target angka yang dapat diaudit, sebagaimana dicatat dalam Laporan Audit Kelayakan Bagian 4;</w:t>
      </w:r>
    </w:p>
    <w:p>
      <w:pPr>
        <w:spacing w:after="80"/>
        <w:ind w:left="4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b.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bahwa pemantauan kebijakan publik yang baik mensyaratkan baseline yang jelas, target waktu, dan penanggung jawab pengumpulan data.</w:t>
      </w:r>
    </w:p>
    <w:p>
      <w:pPr>
        <w:pStyle w:val="Heading2"/>
        <w:spacing w:after="120" w:before="240"/>
      </w:pPr>
      <w:r>
        <w:t xml:space="preserve">Tabel Baseline dan Target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1872"/>
            <w:shd w:fill="1F3A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Klaster</w:t>
            </w:r>
          </w:p>
        </w:tc>
        <w:tc>
          <w:tcPr>
            <w:tcW w:type="dxa" w:w="1872"/>
            <w:shd w:fill="1F3A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Risiko</w:t>
            </w:r>
          </w:p>
        </w:tc>
        <w:tc>
          <w:tcPr>
            <w:tcW w:type="dxa" w:w="1872"/>
            <w:shd w:fill="1F3A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Dampak</w:t>
            </w:r>
          </w:p>
        </w:tc>
        <w:tc>
          <w:tcPr>
            <w:tcW w:type="dxa" w:w="1872"/>
            <w:shd w:fill="1F3A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Mitigasi</w:t>
            </w:r>
          </w:p>
        </w:tc>
        <w:tc>
          <w:tcPr>
            <w:tcW w:type="dxa" w:w="1872"/>
            <w:shd w:fill="1F3A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Pemilik Risiko</w:t>
            </w:r>
          </w:p>
        </w:tc>
      </w:tr>
      <w:tr>
        <w:tc>
          <w:tcPr>
            <w:tcW w:type="dxa" w:w="1872"/>
            <w:shd w:fill="F2F4E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KL-01</w:t>
            </w:r>
          </w:p>
        </w:tc>
        <w:tc>
          <w:tcPr>
            <w:tcW w:type="dxa" w:w="1872"/>
            <w:shd w:fill="F2F4E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Rasio kasus tertangani/terverifikasi</w:t>
            </w:r>
          </w:p>
        </w:tc>
        <w:tc>
          <w:tcPr>
            <w:tcW w:type="dxa" w:w="1872"/>
            <w:shd w:fill="F2F4E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16,9% (124/733, Agustus 2025)</w:t>
            </w:r>
          </w:p>
        </w:tc>
        <w:tc>
          <w:tcPr>
            <w:tcW w:type="dxa" w:w="1872"/>
            <w:shd w:fill="F2F4E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Naik menjadi minimal 60% dalam 18 bulan</w:t>
            </w:r>
          </w:p>
        </w:tc>
        <w:tc>
          <w:tcPr>
            <w:tcW w:type="dxa" w:w="1872"/>
            <w:shd w:fill="F2F4E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Itjen Kemenkes</w:t>
            </w:r>
          </w:p>
        </w:tc>
      </w:tr>
      <w:tr>
        <w:tc>
          <w:tcPr>
            <w:tcW w:type="dxa" w:w="1872"/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KL-02</w:t>
            </w:r>
          </w:p>
        </w:tc>
        <w:tc>
          <w:tcPr>
            <w:tcW w:type="dxa" w:w="1872"/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Rasio kesenjangan tunjangan tertinggi-terendah</w:t>
            </w:r>
          </w:p>
        </w:tc>
        <w:tc>
          <w:tcPr>
            <w:tcW w:type="dxa" w:w="1872"/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±26,7x (Rp80jt vs Rp3jt, contoh Mahakam Ulu-Bone)</w:t>
            </w:r>
          </w:p>
        </w:tc>
        <w:tc>
          <w:tcPr>
            <w:tcW w:type="dxa" w:w="1872"/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Turun minimal 30% dalam 3 tahun pada wilayah uji coba</w:t>
            </w:r>
          </w:p>
        </w:tc>
        <w:tc>
          <w:tcPr>
            <w:tcW w:type="dxa" w:w="1872"/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Biro Perencanaan Kemenkes</w:t>
            </w:r>
          </w:p>
        </w:tc>
      </w:tr>
      <w:tr>
        <w:tc>
          <w:tcPr>
            <w:tcW w:type="dxa" w:w="1872"/>
            <w:shd w:fill="F2F4E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KL-03</w:t>
            </w:r>
          </w:p>
        </w:tc>
        <w:tc>
          <w:tcPr>
            <w:tcW w:type="dxa" w:w="1872"/>
            <w:shd w:fill="F2F4E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Persentase puskesmas tanpa dokter</w:t>
            </w:r>
          </w:p>
        </w:tc>
        <w:tc>
          <w:tcPr>
            <w:tcW w:type="dxa" w:w="1872"/>
            <w:shd w:fill="F2F4E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4,17% (Juni 2023)</w:t>
            </w:r>
          </w:p>
        </w:tc>
        <w:tc>
          <w:tcPr>
            <w:tcW w:type="dxa" w:w="1872"/>
            <w:shd w:fill="F2F4E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Turun menjadi di bawah 2% dalam 3 tahun</w:t>
            </w:r>
          </w:p>
        </w:tc>
        <w:tc>
          <w:tcPr>
            <w:tcW w:type="dxa" w:w="1872"/>
            <w:shd w:fill="F2F4E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Pusat Data Kemenkes</w:t>
            </w:r>
          </w:p>
        </w:tc>
      </w:tr>
      <w:tr>
        <w:tc>
          <w:tcPr>
            <w:tcW w:type="dxa" w:w="1872"/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KL-03</w:t>
            </w:r>
          </w:p>
        </w:tc>
        <w:tc>
          <w:tcPr>
            <w:tcW w:type="dxa" w:w="1872"/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Persentase RSUD kab/kota kekurangan dokter spesialis</w:t>
            </w:r>
          </w:p>
        </w:tc>
        <w:tc>
          <w:tcPr>
            <w:tcW w:type="dxa" w:w="1872"/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38,48% (Juni 2023)</w:t>
            </w:r>
          </w:p>
        </w:tc>
        <w:tc>
          <w:tcPr>
            <w:tcW w:type="dxa" w:w="1872"/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Turun menjadi di bawah 25% dalam 3 tahun</w:t>
            </w:r>
          </w:p>
        </w:tc>
        <w:tc>
          <w:tcPr>
            <w:tcW w:type="dxa" w:w="1872"/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Pusat Data Kemenkes</w:t>
            </w:r>
          </w:p>
        </w:tc>
      </w:tr>
      <w:tr>
        <w:tc>
          <w:tcPr>
            <w:tcW w:type="dxa" w:w="1872"/>
            <w:shd w:fill="F2F4E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KL-04</w:t>
            </w:r>
          </w:p>
        </w:tc>
        <w:tc>
          <w:tcPr>
            <w:tcW w:type="dxa" w:w="1872"/>
            <w:shd w:fill="F2F4E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Tingkat retensi dokter primer pasca-ikatan dinas</w:t>
            </w:r>
          </w:p>
        </w:tc>
        <w:tc>
          <w:tcPr>
            <w:tcW w:type="dxa" w:w="1872"/>
            <w:shd w:fill="F2F4E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Belum terdata secara nasional (perlu baseline survey tahun pertama)</w:t>
            </w:r>
          </w:p>
        </w:tc>
        <w:tc>
          <w:tcPr>
            <w:tcW w:type="dxa" w:w="1872"/>
            <w:shd w:fill="F2F4E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Survei baseline tahun pertama, target retensi 70% pada tahun ketiga</w:t>
            </w:r>
          </w:p>
        </w:tc>
        <w:tc>
          <w:tcPr>
            <w:tcW w:type="dxa" w:w="1872"/>
            <w:shd w:fill="F2F4E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Biro Kepegawaian Kemenkes</w:t>
            </w:r>
          </w:p>
        </w:tc>
      </w:tr>
    </w:tbl>
    <w:p>
      <w:pPr>
        <w:pStyle w:val="Heading2"/>
        <w:spacing w:after="120" w:before="240"/>
      </w:pPr>
      <w:r>
        <w:t xml:space="preserve">Mekanisme Pelaporan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Setiap penanggung jawab data menyampaikan pemutakhiran angka kepada unit koordinator implementasi lintas-klaster setiap 6 (enam) bulan. Baseline yang belum tersedia (ditandai pada tabel di atas) wajib diisi melalui survei baseline pada tahun pertama pelaksanaan, sebelum target dapat dievaluasi pada tahun-tahun berikutnya.</w:t>
      </w:r>
    </w:p>
    <w:p>
      <w:pPr>
        <w:pStyle w:val="Heading2"/>
        <w:spacing w:after="120" w:before="240"/>
      </w:pPr>
      <w:r>
        <w:t xml:space="preserve">Ketentuan Penutup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Pedoman ini menjadi rujukan tunggal untuk seluruh pengukuran indikator keberhasilan pada Dokumen Pemetaan Masalah &amp; Solusi dan keempat lampiran klaster, menggantikan deskripsi arah kualitatif yang digunakan sebelumnya.</w:t>
      </w:r>
    </w:p>
    <w:sectPr>
      <w:headerReference w:type="default" r:id="rId7"/>
      <w:footerReference w:type="default" r:id="rId8"/>
      <w:pgSz w:w="12240" w:h="15840" w:orient="portrait"/>
      <w:pgMar w:top="1300" w:right="1300" w:bottom="13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6"/>
        <w:szCs w:val="16"/>
      </w:rPr>
      <w:t xml:space="preserve">Halaman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999999"/>
        <w:sz w:val="16"/>
        <w:szCs w:val="16"/>
      </w:rPr>
      <w:t xml:space="preserve"> dari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999999"/>
        <w:sz w:val="16"/>
        <w:szCs w:val="16"/>
      </w:rPr>
      <w:t xml:space="preserve">Lintas-Klaster — Edisi Juni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00"/>
    </w:pPr>
    <w:rPr>
      <w:rFonts w:ascii="Arial" w:cs="Arial" w:eastAsia="Arial" w:hAnsi="Arial"/>
      <w:b/>
      <w:bCs/>
      <w:color w:val="1F3A4D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100" w:before="160"/>
    </w:pPr>
    <w:rPr>
      <w:rFonts w:ascii="Arial" w:cs="Arial" w:eastAsia="Arial" w:hAnsi="Arial"/>
      <w:b/>
      <w:bCs/>
      <w:color w:val="8B5E2F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2026-06-27T15:18:30.520Z</dcterms:created>
  <dcterms:modified xsi:type="dcterms:W3CDTF">2026-06-27T15:18:30.520Z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