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360"/>
            <w:tcBorders>
              <w:top w:val="single" w:color="C9882C" w:sz="4"/>
              <w:left w:val="single" w:color="C9882C" w:sz="4"/>
              <w:bottom w:val="single" w:color="C9882C" w:sz="4"/>
              <w:right w:val="single" w:color="C9882C" w:sz="4"/>
            </w:tcBorders>
            <w:shd w:fill="FFF3E0" w:val="clear"/>
            <w:tcMar>
              <w:top w:type="dxa" w:w="160"/>
              <w:left w:type="dxa" w:w="200"/>
              <w:bottom w:type="dxa" w:w="160"/>
              <w:right w:type="dxa" w:w="200"/>
            </w:tcMar>
          </w:tcPr>
          <w:p>
            <w:r>
              <w:rPr>
                <w:rFonts w:ascii="Arial" w:cs="Arial" w:eastAsia="Arial" w:hAnsi="Arial"/>
                <w:b/>
                <w:bCs/>
                <w:color w:val="8B5E2F"/>
                <w:sz w:val="21"/>
                <w:szCs w:val="21"/>
              </w:rPr>
              <w:t xml:space="preserve">STATUS DOKUMEN: RANCANGAN TEKNIS — BUKAN PRODUK HUKUM RESMI</w:t>
            </w:r>
          </w:p>
          <w:p>
            <w:pPr>
              <w:spacing w:before="80"/>
            </w:pPr>
            <w:r>
              <w:rPr>
                <w:rFonts w:ascii="Arial" w:cs="Arial" w:eastAsia="Arial" w:hAnsi="Arial"/>
                <w:i/>
                <w:iCs/>
                <w:sz w:val="18"/>
                <w:szCs w:val="18"/>
              </w:rPr>
              <w:t xml:space="preserve">Dokumen ini adalah bahan usulan teknis untuk mempercepat proses formal, bukan pengganti proses formal itu sendiri. Sebelum berkekuatan hukum, rancangan ini wajib melalui: (1) harmonisasi oleh Biro Hukum lembaga terkait, (2) pengecekan kesesuaian dengan peraturan yang lebih tinggi, (3) sesuai jenisnya, konsultasi publik dan/atau pembahasan lintas-kementerian, dan (4) pengundangan resmi. Ketentuan sanksi di dalamnya dibatasi pada kewenangan administratif yang sesuai dengan jenis dan jenjang lembaga penerbit; sanksi pidana hanya dapat diatur oleh undang-undang.</w:t>
            </w:r>
          </w:p>
        </w:tc>
      </w:tr>
    </w:tbl>
    <w:p>
      <w:pPr>
        <w:spacing w:after="40" w:before="200"/>
        <w:jc w:val="center"/>
      </w:pPr>
      <w:r>
        <w:rPr>
          <w:rFonts w:ascii="Arial" w:cs="Arial" w:eastAsia="Arial" w:hAnsi="Arial"/>
          <w:b/>
          <w:bCs/>
          <w:color w:val="8B5E2F"/>
          <w:sz w:val="20"/>
          <w:szCs w:val="20"/>
        </w:rPr>
        <w:t xml:space="preserve">DOKUMEN 5.1 — LINTAS-KLASTER</w:t>
      </w:r>
    </w:p>
    <w:p>
      <w:pPr>
        <w:spacing w:after="6"/>
        <w:jc w:val="center"/>
      </w:pPr>
      <w:r>
        <w:rPr>
          <w:rFonts w:ascii="Arial" w:cs="Arial" w:eastAsia="Arial" w:hAnsi="Arial"/>
          <w:color w:val="4B5A60"/>
          <w:sz w:val="22"/>
          <w:szCs w:val="22"/>
        </w:rPr>
        <w:t xml:space="preserve">Bahan Usulan Teknis — Pelengkap Hasil Audit Kecukupan, Juni 2026</w:t>
      </w:r>
    </w:p>
    <w:p>
      <w:pPr>
        <w:spacing w:after="200"/>
        <w:jc w:val="center"/>
      </w:pPr>
      <w:r>
        <w:rPr>
          <w:rFonts w:ascii="Cambria" w:cs="Cambria" w:eastAsia="Cambria" w:hAnsi="Cambria"/>
          <w:b/>
          <w:bCs/>
          <w:color w:val="1F3A4D"/>
          <w:sz w:val="30"/>
          <w:szCs w:val="30"/>
        </w:rPr>
        <w:t xml:space="preserve">Register Risiko Implementasi atas Empat Klaster Kebijakan</w:t>
      </w:r>
    </w:p>
    <w:p>
      <w:pPr>
        <w:pStyle w:val="Heading2"/>
        <w:spacing w:after="120" w:before="240"/>
      </w:pPr>
      <w:r>
        <w:t xml:space="preserve">Latar Belakang</w:t>
      </w:r>
    </w:p>
    <w:p>
      <w:pPr>
        <w:spacing w:after="200"/>
      </w:pPr>
      <w:r>
        <w:rPr>
          <w:rFonts w:ascii="Arial" w:cs="Arial" w:eastAsia="Arial" w:hAnsi="Arial"/>
          <w:sz w:val="22"/>
          <w:szCs w:val="22"/>
        </w:rPr>
        <w:t xml:space="preserve">Laporan Audit Kelayakan (Juni 2026) mengidentifikasi register risiko sebagai salah satu kesenjangan kecukupan dokumen yang belum terisi. Register risiko diperlukan agar setiap risiko yang telah diketahui memiliki pemilik (risk owner) dan rencana mitigasi yang jelas, bukan hanya dicatat sebagai catatan naratif.</w:t>
      </w:r>
    </w:p>
    <w:p>
      <w:pPr>
        <w:pStyle w:val="Heading2"/>
        <w:spacing w:after="120" w:before="240"/>
      </w:pPr>
      <w:r>
        <w:t xml:space="preserve">Tabel Register Risiko</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tcPr>
            <w:tcW w:type="dxa" w:w="1872"/>
            <w:shd w:fill="1F3A4D" w:val="clear"/>
            <w:tcMar>
              <w:top w:type="dxa" w:w="80"/>
              <w:left w:type="dxa" w:w="100"/>
              <w:bottom w:type="dxa" w:w="80"/>
              <w:right w:type="dxa" w:w="100"/>
            </w:tcMar>
          </w:tcPr>
          <w:p>
            <w:r>
              <w:rPr>
                <w:rFonts w:ascii="Arial" w:cs="Arial" w:eastAsia="Arial" w:hAnsi="Arial"/>
                <w:b/>
                <w:bCs/>
                <w:color w:val="FFFFFF"/>
                <w:sz w:val="18"/>
                <w:szCs w:val="18"/>
              </w:rPr>
              <w:t xml:space="preserve">Klaster</w:t>
            </w:r>
          </w:p>
        </w:tc>
        <w:tc>
          <w:tcPr>
            <w:tcW w:type="dxa" w:w="1872"/>
            <w:shd w:fill="1F3A4D" w:val="clear"/>
            <w:tcMar>
              <w:top w:type="dxa" w:w="80"/>
              <w:left w:type="dxa" w:w="100"/>
              <w:bottom w:type="dxa" w:w="80"/>
              <w:right w:type="dxa" w:w="100"/>
            </w:tcMar>
          </w:tcPr>
          <w:p>
            <w:r>
              <w:rPr>
                <w:rFonts w:ascii="Arial" w:cs="Arial" w:eastAsia="Arial" w:hAnsi="Arial"/>
                <w:b/>
                <w:bCs/>
                <w:color w:val="FFFFFF"/>
                <w:sz w:val="18"/>
                <w:szCs w:val="18"/>
              </w:rPr>
              <w:t xml:space="preserve">Risiko</w:t>
            </w:r>
          </w:p>
        </w:tc>
        <w:tc>
          <w:tcPr>
            <w:tcW w:type="dxa" w:w="1872"/>
            <w:shd w:fill="1F3A4D" w:val="clear"/>
            <w:tcMar>
              <w:top w:type="dxa" w:w="80"/>
              <w:left w:type="dxa" w:w="100"/>
              <w:bottom w:type="dxa" w:w="80"/>
              <w:right w:type="dxa" w:w="100"/>
            </w:tcMar>
          </w:tcPr>
          <w:p>
            <w:r>
              <w:rPr>
                <w:rFonts w:ascii="Arial" w:cs="Arial" w:eastAsia="Arial" w:hAnsi="Arial"/>
                <w:b/>
                <w:bCs/>
                <w:color w:val="FFFFFF"/>
                <w:sz w:val="18"/>
                <w:szCs w:val="18"/>
              </w:rPr>
              <w:t xml:space="preserve">Dampak</w:t>
            </w:r>
          </w:p>
        </w:tc>
        <w:tc>
          <w:tcPr>
            <w:tcW w:type="dxa" w:w="1872"/>
            <w:shd w:fill="1F3A4D" w:val="clear"/>
            <w:tcMar>
              <w:top w:type="dxa" w:w="80"/>
              <w:left w:type="dxa" w:w="100"/>
              <w:bottom w:type="dxa" w:w="80"/>
              <w:right w:type="dxa" w:w="100"/>
            </w:tcMar>
          </w:tcPr>
          <w:p>
            <w:r>
              <w:rPr>
                <w:rFonts w:ascii="Arial" w:cs="Arial" w:eastAsia="Arial" w:hAnsi="Arial"/>
                <w:b/>
                <w:bCs/>
                <w:color w:val="FFFFFF"/>
                <w:sz w:val="18"/>
                <w:szCs w:val="18"/>
              </w:rPr>
              <w:t xml:space="preserve">Mitigasi</w:t>
            </w:r>
          </w:p>
        </w:tc>
        <w:tc>
          <w:tcPr>
            <w:tcW w:type="dxa" w:w="1872"/>
            <w:shd w:fill="1F3A4D" w:val="clear"/>
            <w:tcMar>
              <w:top w:type="dxa" w:w="80"/>
              <w:left w:type="dxa" w:w="100"/>
              <w:bottom w:type="dxa" w:w="80"/>
              <w:right w:type="dxa" w:w="100"/>
            </w:tcMar>
          </w:tcPr>
          <w:p>
            <w:r>
              <w:rPr>
                <w:rFonts w:ascii="Arial" w:cs="Arial" w:eastAsia="Arial" w:hAnsi="Arial"/>
                <w:b/>
                <w:bCs/>
                <w:color w:val="FFFFFF"/>
                <w:sz w:val="18"/>
                <w:szCs w:val="18"/>
              </w:rPr>
              <w:t xml:space="preserve">Pemilik Risiko</w:t>
            </w:r>
          </w:p>
        </w:tc>
      </w:tr>
      <w:tr>
        <w:tc>
          <w:tcPr>
            <w:tcW w:type="dxa" w:w="1872"/>
            <w:shd w:fill="F2F4EF" w:val="clear"/>
            <w:tcMar>
              <w:top w:type="dxa" w:w="80"/>
              <w:left w:type="dxa" w:w="100"/>
              <w:bottom w:type="dxa" w:w="80"/>
              <w:right w:type="dxa" w:w="100"/>
            </w:tcMar>
          </w:tcPr>
          <w:p>
            <w:r>
              <w:rPr>
                <w:rFonts w:ascii="Arial" w:cs="Arial" w:eastAsia="Arial" w:hAnsi="Arial"/>
                <w:sz w:val="18"/>
                <w:szCs w:val="18"/>
              </w:rPr>
              <w:t xml:space="preserve">KL-01</w:t>
            </w:r>
          </w:p>
        </w:tc>
        <w:tc>
          <w:tcPr>
            <w:tcW w:type="dxa" w:w="1872"/>
            <w:shd w:fill="F2F4EF" w:val="clear"/>
            <w:tcMar>
              <w:top w:type="dxa" w:w="80"/>
              <w:left w:type="dxa" w:w="100"/>
              <w:bottom w:type="dxa" w:w="80"/>
              <w:right w:type="dxa" w:w="100"/>
            </w:tcMar>
          </w:tcPr>
          <w:p>
            <w:r>
              <w:rPr>
                <w:rFonts w:ascii="Arial" w:cs="Arial" w:eastAsia="Arial" w:hAnsi="Arial"/>
                <w:sz w:val="18"/>
                <w:szCs w:val="18"/>
              </w:rPr>
              <w:t xml:space="preserve">Backlog laporan tidak terselesaikan meski kanal sudah berjalan</w:t>
            </w:r>
          </w:p>
        </w:tc>
        <w:tc>
          <w:tcPr>
            <w:tcW w:type="dxa" w:w="1872"/>
            <w:shd w:fill="F2F4EF" w:val="clear"/>
            <w:tcMar>
              <w:top w:type="dxa" w:w="80"/>
              <w:left w:type="dxa" w:w="100"/>
              <w:bottom w:type="dxa" w:w="80"/>
              <w:right w:type="dxa" w:w="100"/>
            </w:tcMar>
          </w:tcPr>
          <w:p>
            <w:r>
              <w:rPr>
                <w:rFonts w:ascii="Arial" w:cs="Arial" w:eastAsia="Arial" w:hAnsi="Arial"/>
                <w:sz w:val="18"/>
                <w:szCs w:val="18"/>
              </w:rPr>
              <w:t xml:space="preserve">Kepercayaan pelapor menurun, kasus berulang tidak tertangani</w:t>
            </w:r>
          </w:p>
        </w:tc>
        <w:tc>
          <w:tcPr>
            <w:tcW w:type="dxa" w:w="1872"/>
            <w:shd w:fill="F2F4EF" w:val="clear"/>
            <w:tcMar>
              <w:top w:type="dxa" w:w="80"/>
              <w:left w:type="dxa" w:w="100"/>
              <w:bottom w:type="dxa" w:w="80"/>
              <w:right w:type="dxa" w:w="100"/>
            </w:tcMar>
          </w:tcPr>
          <w:p>
            <w:r>
              <w:rPr>
                <w:rFonts w:ascii="Arial" w:cs="Arial" w:eastAsia="Arial" w:hAnsi="Arial"/>
                <w:sz w:val="18"/>
                <w:szCs w:val="18"/>
              </w:rPr>
              <w:t xml:space="preserve">SOP investigasi dengan batas waktu tegas (Dokumen 1.4)</w:t>
            </w:r>
          </w:p>
        </w:tc>
        <w:tc>
          <w:tcPr>
            <w:tcW w:type="dxa" w:w="1872"/>
            <w:shd w:fill="F2F4EF" w:val="clear"/>
            <w:tcMar>
              <w:top w:type="dxa" w:w="80"/>
              <w:left w:type="dxa" w:w="100"/>
              <w:bottom w:type="dxa" w:w="80"/>
              <w:right w:type="dxa" w:w="100"/>
            </w:tcMar>
          </w:tcPr>
          <w:p>
            <w:r>
              <w:rPr>
                <w:rFonts w:ascii="Arial" w:cs="Arial" w:eastAsia="Arial" w:hAnsi="Arial"/>
                <w:sz w:val="18"/>
                <w:szCs w:val="18"/>
              </w:rPr>
              <w:t xml:space="preserve">Inspektorat Jenderal Kemenkes</w:t>
            </w:r>
          </w:p>
        </w:tc>
      </w:tr>
      <w:tr>
        <w:tc>
          <w:tcPr>
            <w:tcW w:type="dxa" w:w="1872"/>
            <w:shd w:fill="FFFFFF" w:val="clear"/>
            <w:tcMar>
              <w:top w:type="dxa" w:w="80"/>
              <w:left w:type="dxa" w:w="100"/>
              <w:bottom w:type="dxa" w:w="80"/>
              <w:right w:type="dxa" w:w="100"/>
            </w:tcMar>
          </w:tcPr>
          <w:p>
            <w:r>
              <w:rPr>
                <w:rFonts w:ascii="Arial" w:cs="Arial" w:eastAsia="Arial" w:hAnsi="Arial"/>
                <w:sz w:val="18"/>
                <w:szCs w:val="18"/>
              </w:rPr>
              <w:t xml:space="preserve">KL-01</w:t>
            </w:r>
          </w:p>
        </w:tc>
        <w:tc>
          <w:tcPr>
            <w:tcW w:type="dxa" w:w="1872"/>
            <w:shd w:fill="FFFFFF" w:val="clear"/>
            <w:tcMar>
              <w:top w:type="dxa" w:w="80"/>
              <w:left w:type="dxa" w:w="100"/>
              <w:bottom w:type="dxa" w:w="80"/>
              <w:right w:type="dxa" w:w="100"/>
            </w:tcMar>
          </w:tcPr>
          <w:p>
            <w:r>
              <w:rPr>
                <w:rFonts w:ascii="Arial" w:cs="Arial" w:eastAsia="Arial" w:hAnsi="Arial"/>
                <w:sz w:val="18"/>
                <w:szCs w:val="18"/>
              </w:rPr>
              <w:t xml:space="preserve">Institusi pendidikan menutupi kasus demi reputasi</w:t>
            </w:r>
          </w:p>
        </w:tc>
        <w:tc>
          <w:tcPr>
            <w:tcW w:type="dxa" w:w="1872"/>
            <w:shd w:fill="FFFFFF" w:val="clear"/>
            <w:tcMar>
              <w:top w:type="dxa" w:w="80"/>
              <w:left w:type="dxa" w:w="100"/>
              <w:bottom w:type="dxa" w:w="80"/>
              <w:right w:type="dxa" w:w="100"/>
            </w:tcMar>
          </w:tcPr>
          <w:p>
            <w:r>
              <w:rPr>
                <w:rFonts w:ascii="Arial" w:cs="Arial" w:eastAsia="Arial" w:hAnsi="Arial"/>
                <w:sz w:val="18"/>
                <w:szCs w:val="18"/>
              </w:rPr>
              <w:t xml:space="preserve">Pelaku tidak tersanksi, korban baru berpotensi muncul</w:t>
            </w:r>
          </w:p>
        </w:tc>
        <w:tc>
          <w:tcPr>
            <w:tcW w:type="dxa" w:w="1872"/>
            <w:shd w:fill="FFFFFF" w:val="clear"/>
            <w:tcMar>
              <w:top w:type="dxa" w:w="80"/>
              <w:left w:type="dxa" w:w="100"/>
              <w:bottom w:type="dxa" w:w="80"/>
              <w:right w:type="dxa" w:w="100"/>
            </w:tcMar>
          </w:tcPr>
          <w:p>
            <w:r>
              <w:rPr>
                <w:rFonts w:ascii="Arial" w:cs="Arial" w:eastAsia="Arial" w:hAnsi="Arial"/>
                <w:sz w:val="18"/>
                <w:szCs w:val="18"/>
              </w:rPr>
              <w:t xml:space="preserve">Audit eksternal wajib + jalur eskalasi independen ke KKI (Dokumen 1.3)</w:t>
            </w:r>
          </w:p>
        </w:tc>
        <w:tc>
          <w:tcPr>
            <w:tcW w:type="dxa" w:w="1872"/>
            <w:shd w:fill="FFFFFF" w:val="clear"/>
            <w:tcMar>
              <w:top w:type="dxa" w:w="80"/>
              <w:left w:type="dxa" w:w="100"/>
              <w:bottom w:type="dxa" w:w="80"/>
              <w:right w:type="dxa" w:w="100"/>
            </w:tcMar>
          </w:tcPr>
          <w:p>
            <w:r>
              <w:rPr>
                <w:rFonts w:ascii="Arial" w:cs="Arial" w:eastAsia="Arial" w:hAnsi="Arial"/>
                <w:sz w:val="18"/>
                <w:szCs w:val="18"/>
              </w:rPr>
              <w:t xml:space="preserve">Itjen Kemenkes &amp; KKI</w:t>
            </w:r>
          </w:p>
        </w:tc>
      </w:tr>
      <w:tr>
        <w:tc>
          <w:tcPr>
            <w:tcW w:type="dxa" w:w="1872"/>
            <w:shd w:fill="F2F4EF" w:val="clear"/>
            <w:tcMar>
              <w:top w:type="dxa" w:w="80"/>
              <w:left w:type="dxa" w:w="100"/>
              <w:bottom w:type="dxa" w:w="80"/>
              <w:right w:type="dxa" w:w="100"/>
            </w:tcMar>
          </w:tcPr>
          <w:p>
            <w:r>
              <w:rPr>
                <w:rFonts w:ascii="Arial" w:cs="Arial" w:eastAsia="Arial" w:hAnsi="Arial"/>
                <w:sz w:val="18"/>
                <w:szCs w:val="18"/>
              </w:rPr>
              <w:t xml:space="preserve">KL-02</w:t>
            </w:r>
          </w:p>
        </w:tc>
        <w:tc>
          <w:tcPr>
            <w:tcW w:type="dxa" w:w="1872"/>
            <w:shd w:fill="F2F4EF" w:val="clear"/>
            <w:tcMar>
              <w:top w:type="dxa" w:w="80"/>
              <w:left w:type="dxa" w:w="100"/>
              <w:bottom w:type="dxa" w:w="80"/>
              <w:right w:type="dxa" w:w="100"/>
            </w:tcMar>
          </w:tcPr>
          <w:p>
            <w:r>
              <w:rPr>
                <w:rFonts w:ascii="Arial" w:cs="Arial" w:eastAsia="Arial" w:hAnsi="Arial"/>
                <w:sz w:val="18"/>
                <w:szCs w:val="18"/>
              </w:rPr>
              <w:t xml:space="preserve">Resistensi politik dari dokter senior atas pembatasan SIP</w:t>
            </w:r>
          </w:p>
        </w:tc>
        <w:tc>
          <w:tcPr>
            <w:tcW w:type="dxa" w:w="1872"/>
            <w:shd w:fill="F2F4EF" w:val="clear"/>
            <w:tcMar>
              <w:top w:type="dxa" w:w="80"/>
              <w:left w:type="dxa" w:w="100"/>
              <w:bottom w:type="dxa" w:w="80"/>
              <w:right w:type="dxa" w:w="100"/>
            </w:tcMar>
          </w:tcPr>
          <w:p>
            <w:r>
              <w:rPr>
                <w:rFonts w:ascii="Arial" w:cs="Arial" w:eastAsia="Arial" w:hAnsi="Arial"/>
                <w:sz w:val="18"/>
                <w:szCs w:val="18"/>
              </w:rPr>
              <w:t xml:space="preserve">Kebijakan macet/dibatalkan sebelum diterapkan</w:t>
            </w:r>
          </w:p>
        </w:tc>
        <w:tc>
          <w:tcPr>
            <w:tcW w:type="dxa" w:w="1872"/>
            <w:shd w:fill="F2F4EF" w:val="clear"/>
            <w:tcMar>
              <w:top w:type="dxa" w:w="80"/>
              <w:left w:type="dxa" w:w="100"/>
              <w:bottom w:type="dxa" w:w="80"/>
              <w:right w:type="dxa" w:w="100"/>
            </w:tcMar>
          </w:tcPr>
          <w:p>
            <w:r>
              <w:rPr>
                <w:rFonts w:ascii="Arial" w:cs="Arial" w:eastAsia="Arial" w:hAnsi="Arial"/>
                <w:sz w:val="18"/>
                <w:szCs w:val="18"/>
              </w:rPr>
              <w:t xml:space="preserve">Kajian dua opsi + konsultasi formal IDI sebelum finalisasi (Dokumen 2.5)</w:t>
            </w:r>
          </w:p>
        </w:tc>
        <w:tc>
          <w:tcPr>
            <w:tcW w:type="dxa" w:w="1872"/>
            <w:shd w:fill="F2F4EF" w:val="clear"/>
            <w:tcMar>
              <w:top w:type="dxa" w:w="80"/>
              <w:left w:type="dxa" w:w="100"/>
              <w:bottom w:type="dxa" w:w="80"/>
              <w:right w:type="dxa" w:w="100"/>
            </w:tcMar>
          </w:tcPr>
          <w:p>
            <w:r>
              <w:rPr>
                <w:rFonts w:ascii="Arial" w:cs="Arial" w:eastAsia="Arial" w:hAnsi="Arial"/>
                <w:sz w:val="18"/>
                <w:szCs w:val="18"/>
              </w:rPr>
              <w:t xml:space="preserve">Tim Kajian Kemenkes</w:t>
            </w:r>
          </w:p>
        </w:tc>
      </w:tr>
      <w:tr>
        <w:tc>
          <w:tcPr>
            <w:tcW w:type="dxa" w:w="1872"/>
            <w:shd w:fill="FFFFFF" w:val="clear"/>
            <w:tcMar>
              <w:top w:type="dxa" w:w="80"/>
              <w:left w:type="dxa" w:w="100"/>
              <w:bottom w:type="dxa" w:w="80"/>
              <w:right w:type="dxa" w:w="100"/>
            </w:tcMar>
          </w:tcPr>
          <w:p>
            <w:r>
              <w:rPr>
                <w:rFonts w:ascii="Arial" w:cs="Arial" w:eastAsia="Arial" w:hAnsi="Arial"/>
                <w:sz w:val="18"/>
                <w:szCs w:val="18"/>
              </w:rPr>
              <w:t xml:space="preserve">KL-02</w:t>
            </w:r>
          </w:p>
        </w:tc>
        <w:tc>
          <w:tcPr>
            <w:tcW w:type="dxa" w:w="1872"/>
            <w:shd w:fill="FFFFFF" w:val="clear"/>
            <w:tcMar>
              <w:top w:type="dxa" w:w="80"/>
              <w:left w:type="dxa" w:w="100"/>
              <w:bottom w:type="dxa" w:w="80"/>
              <w:right w:type="dxa" w:w="100"/>
            </w:tcMar>
          </w:tcPr>
          <w:p>
            <w:r>
              <w:rPr>
                <w:rFonts w:ascii="Arial" w:cs="Arial" w:eastAsia="Arial" w:hAnsi="Arial"/>
                <w:sz w:val="18"/>
                <w:szCs w:val="18"/>
              </w:rPr>
              <w:t xml:space="preserve">Sentralisasi kewenangan SIP disalahgunakan secara politis</w:t>
            </w:r>
          </w:p>
        </w:tc>
        <w:tc>
          <w:tcPr>
            <w:tcW w:type="dxa" w:w="1872"/>
            <w:shd w:fill="FFFFFF" w:val="clear"/>
            <w:tcMar>
              <w:top w:type="dxa" w:w="80"/>
              <w:left w:type="dxa" w:w="100"/>
              <w:bottom w:type="dxa" w:w="80"/>
              <w:right w:type="dxa" w:w="100"/>
            </w:tcMar>
          </w:tcPr>
          <w:p>
            <w:r>
              <w:rPr>
                <w:rFonts w:ascii="Arial" w:cs="Arial" w:eastAsia="Arial" w:hAnsi="Arial"/>
                <w:sz w:val="18"/>
                <w:szCs w:val="18"/>
              </w:rPr>
              <w:t xml:space="preserve">Disiplin profesi dipakai menekan kritik kebijakan</w:t>
            </w:r>
          </w:p>
        </w:tc>
        <w:tc>
          <w:tcPr>
            <w:tcW w:type="dxa" w:w="1872"/>
            <w:shd w:fill="FFFFFF" w:val="clear"/>
            <w:tcMar>
              <w:top w:type="dxa" w:w="80"/>
              <w:left w:type="dxa" w:w="100"/>
              <w:bottom w:type="dxa" w:w="80"/>
              <w:right w:type="dxa" w:w="100"/>
            </w:tcMar>
          </w:tcPr>
          <w:p>
            <w:r>
              <w:rPr>
                <w:rFonts w:ascii="Arial" w:cs="Arial" w:eastAsia="Arial" w:hAnsi="Arial"/>
                <w:sz w:val="18"/>
                <w:szCs w:val="18"/>
              </w:rPr>
              <w:t xml:space="preserve">Kriteria objektif dipublikasikan + hak keberatan (Dokumen 2.1 Pasal 5)</w:t>
            </w:r>
          </w:p>
        </w:tc>
        <w:tc>
          <w:tcPr>
            <w:tcW w:type="dxa" w:w="1872"/>
            <w:shd w:fill="FFFFFF" w:val="clear"/>
            <w:tcMar>
              <w:top w:type="dxa" w:w="80"/>
              <w:left w:type="dxa" w:w="100"/>
              <w:bottom w:type="dxa" w:w="80"/>
              <w:right w:type="dxa" w:w="100"/>
            </w:tcMar>
          </w:tcPr>
          <w:p>
            <w:r>
              <w:rPr>
                <w:rFonts w:ascii="Arial" w:cs="Arial" w:eastAsia="Arial" w:hAnsi="Arial"/>
                <w:sz w:val="18"/>
                <w:szCs w:val="18"/>
              </w:rPr>
              <w:t xml:space="preserve">Unit Pengawasan Internal Kemenkes</w:t>
            </w:r>
          </w:p>
        </w:tc>
      </w:tr>
      <w:tr>
        <w:tc>
          <w:tcPr>
            <w:tcW w:type="dxa" w:w="1872"/>
            <w:shd w:fill="F2F4EF" w:val="clear"/>
            <w:tcMar>
              <w:top w:type="dxa" w:w="80"/>
              <w:left w:type="dxa" w:w="100"/>
              <w:bottom w:type="dxa" w:w="80"/>
              <w:right w:type="dxa" w:w="100"/>
            </w:tcMar>
          </w:tcPr>
          <w:p>
            <w:r>
              <w:rPr>
                <w:rFonts w:ascii="Arial" w:cs="Arial" w:eastAsia="Arial" w:hAnsi="Arial"/>
                <w:sz w:val="18"/>
                <w:szCs w:val="18"/>
              </w:rPr>
              <w:t xml:space="preserve">KL-03</w:t>
            </w:r>
          </w:p>
        </w:tc>
        <w:tc>
          <w:tcPr>
            <w:tcW w:type="dxa" w:w="1872"/>
            <w:shd w:fill="F2F4EF" w:val="clear"/>
            <w:tcMar>
              <w:top w:type="dxa" w:w="80"/>
              <w:left w:type="dxa" w:w="100"/>
              <w:bottom w:type="dxa" w:w="80"/>
              <w:right w:type="dxa" w:w="100"/>
            </w:tcMar>
          </w:tcPr>
          <w:p>
            <w:r>
              <w:rPr>
                <w:rFonts w:ascii="Arial" w:cs="Arial" w:eastAsia="Arial" w:hAnsi="Arial"/>
                <w:sz w:val="18"/>
                <w:szCs w:val="18"/>
              </w:rPr>
              <w:t xml:space="preserve">Pemerintah daerah berkapasitas fiskal rendah tidak patuh</w:t>
            </w:r>
          </w:p>
        </w:tc>
        <w:tc>
          <w:tcPr>
            <w:tcW w:type="dxa" w:w="1872"/>
            <w:shd w:fill="F2F4EF" w:val="clear"/>
            <w:tcMar>
              <w:top w:type="dxa" w:w="80"/>
              <w:left w:type="dxa" w:w="100"/>
              <w:bottom w:type="dxa" w:w="80"/>
              <w:right w:type="dxa" w:w="100"/>
            </w:tcMar>
          </w:tcPr>
          <w:p>
            <w:r>
              <w:rPr>
                <w:rFonts w:ascii="Arial" w:cs="Arial" w:eastAsia="Arial" w:hAnsi="Arial"/>
                <w:sz w:val="18"/>
                <w:szCs w:val="18"/>
              </w:rPr>
              <w:t xml:space="preserve">Distribusi tetap timpang meski regulasi sudah ada</w:t>
            </w:r>
          </w:p>
        </w:tc>
        <w:tc>
          <w:tcPr>
            <w:tcW w:type="dxa" w:w="1872"/>
            <w:shd w:fill="F2F4EF" w:val="clear"/>
            <w:tcMar>
              <w:top w:type="dxa" w:w="80"/>
              <w:left w:type="dxa" w:w="100"/>
              <w:bottom w:type="dxa" w:w="80"/>
              <w:right w:type="dxa" w:w="100"/>
            </w:tcMar>
          </w:tcPr>
          <w:p>
            <w:r>
              <w:rPr>
                <w:rFonts w:ascii="Arial" w:cs="Arial" w:eastAsia="Arial" w:hAnsi="Arial"/>
                <w:sz w:val="18"/>
                <w:szCs w:val="18"/>
              </w:rPr>
              <w:t xml:space="preserve">Pemetaan kepatuhan + rekomendasi DAK (Dokumen 3.3)</w:t>
            </w:r>
          </w:p>
        </w:tc>
        <w:tc>
          <w:tcPr>
            <w:tcW w:type="dxa" w:w="1872"/>
            <w:shd w:fill="F2F4EF" w:val="clear"/>
            <w:tcMar>
              <w:top w:type="dxa" w:w="80"/>
              <w:left w:type="dxa" w:w="100"/>
              <w:bottom w:type="dxa" w:w="80"/>
              <w:right w:type="dxa" w:w="100"/>
            </w:tcMar>
          </w:tcPr>
          <w:p>
            <w:r>
              <w:rPr>
                <w:rFonts w:ascii="Arial" w:cs="Arial" w:eastAsia="Arial" w:hAnsi="Arial"/>
                <w:sz w:val="18"/>
                <w:szCs w:val="18"/>
              </w:rPr>
              <w:t xml:space="preserve">Kemendagri &amp; Kemenkeu</w:t>
            </w:r>
          </w:p>
        </w:tc>
      </w:tr>
      <w:tr>
        <w:tc>
          <w:tcPr>
            <w:tcW w:type="dxa" w:w="1872"/>
            <w:shd w:fill="FFFFFF" w:val="clear"/>
            <w:tcMar>
              <w:top w:type="dxa" w:w="80"/>
              <w:left w:type="dxa" w:w="100"/>
              <w:bottom w:type="dxa" w:w="80"/>
              <w:right w:type="dxa" w:w="100"/>
            </w:tcMar>
          </w:tcPr>
          <w:p>
            <w:r>
              <w:rPr>
                <w:rFonts w:ascii="Arial" w:cs="Arial" w:eastAsia="Arial" w:hAnsi="Arial"/>
                <w:sz w:val="18"/>
                <w:szCs w:val="18"/>
              </w:rPr>
              <w:t xml:space="preserve">KL-03</w:t>
            </w:r>
          </w:p>
        </w:tc>
        <w:tc>
          <w:tcPr>
            <w:tcW w:type="dxa" w:w="1872"/>
            <w:shd w:fill="FFFFFF" w:val="clear"/>
            <w:tcMar>
              <w:top w:type="dxa" w:w="80"/>
              <w:left w:type="dxa" w:w="100"/>
              <w:bottom w:type="dxa" w:w="80"/>
              <w:right w:type="dxa" w:w="100"/>
            </w:tcMar>
          </w:tcPr>
          <w:p>
            <w:r>
              <w:rPr>
                <w:rFonts w:ascii="Arial" w:cs="Arial" w:eastAsia="Arial" w:hAnsi="Arial"/>
                <w:sz w:val="18"/>
                <w:szCs w:val="18"/>
              </w:rPr>
              <w:t xml:space="preserve">Sistem informasi penempatan terlambat dibangun</w:t>
            </w:r>
          </w:p>
        </w:tc>
        <w:tc>
          <w:tcPr>
            <w:tcW w:type="dxa" w:w="1872"/>
            <w:shd w:fill="FFFFFF" w:val="clear"/>
            <w:tcMar>
              <w:top w:type="dxa" w:w="80"/>
              <w:left w:type="dxa" w:w="100"/>
              <w:bottom w:type="dxa" w:w="80"/>
              <w:right w:type="dxa" w:w="100"/>
            </w:tcMar>
          </w:tcPr>
          <w:p>
            <w:r>
              <w:rPr>
                <w:rFonts w:ascii="Arial" w:cs="Arial" w:eastAsia="Arial" w:hAnsi="Arial"/>
                <w:sz w:val="18"/>
                <w:szCs w:val="18"/>
              </w:rPr>
              <w:t xml:space="preserve">Surat tugas lintas-wilayah tidak dapat diproses tepat waktu</w:t>
            </w:r>
          </w:p>
        </w:tc>
        <w:tc>
          <w:tcPr>
            <w:tcW w:type="dxa" w:w="1872"/>
            <w:shd w:fill="FFFFFF" w:val="clear"/>
            <w:tcMar>
              <w:top w:type="dxa" w:w="80"/>
              <w:left w:type="dxa" w:w="100"/>
              <w:bottom w:type="dxa" w:w="80"/>
              <w:right w:type="dxa" w:w="100"/>
            </w:tcMar>
          </w:tcPr>
          <w:p>
            <w:r>
              <w:rPr>
                <w:rFonts w:ascii="Arial" w:cs="Arial" w:eastAsia="Arial" w:hAnsi="Arial"/>
                <w:sz w:val="18"/>
                <w:szCs w:val="18"/>
              </w:rPr>
              <w:t xml:space="preserve">Pedoman teknis sistem ditetapkan paralel dengan Permenkes (Dokumen 3.5)</w:t>
            </w:r>
          </w:p>
        </w:tc>
        <w:tc>
          <w:tcPr>
            <w:tcW w:type="dxa" w:w="1872"/>
            <w:shd w:fill="FFFFFF" w:val="clear"/>
            <w:tcMar>
              <w:top w:type="dxa" w:w="80"/>
              <w:left w:type="dxa" w:w="100"/>
              <w:bottom w:type="dxa" w:w="80"/>
              <w:right w:type="dxa" w:w="100"/>
            </w:tcMar>
          </w:tcPr>
          <w:p>
            <w:r>
              <w:rPr>
                <w:rFonts w:ascii="Arial" w:cs="Arial" w:eastAsia="Arial" w:hAnsi="Arial"/>
                <w:sz w:val="18"/>
                <w:szCs w:val="18"/>
              </w:rPr>
              <w:t xml:space="preserve">Unit Sistem Informasi Kemenkes</w:t>
            </w:r>
          </w:p>
        </w:tc>
      </w:tr>
      <w:tr>
        <w:tc>
          <w:tcPr>
            <w:tcW w:type="dxa" w:w="1872"/>
            <w:shd w:fill="F2F4EF" w:val="clear"/>
            <w:tcMar>
              <w:top w:type="dxa" w:w="80"/>
              <w:left w:type="dxa" w:w="100"/>
              <w:bottom w:type="dxa" w:w="80"/>
              <w:right w:type="dxa" w:w="100"/>
            </w:tcMar>
          </w:tcPr>
          <w:p>
            <w:r>
              <w:rPr>
                <w:rFonts w:ascii="Arial" w:cs="Arial" w:eastAsia="Arial" w:hAnsi="Arial"/>
                <w:sz w:val="18"/>
                <w:szCs w:val="18"/>
              </w:rPr>
              <w:t xml:space="preserve">KL-04</w:t>
            </w:r>
          </w:p>
        </w:tc>
        <w:tc>
          <w:tcPr>
            <w:tcW w:type="dxa" w:w="1872"/>
            <w:shd w:fill="F2F4EF" w:val="clear"/>
            <w:tcMar>
              <w:top w:type="dxa" w:w="80"/>
              <w:left w:type="dxa" w:w="100"/>
              <w:bottom w:type="dxa" w:w="80"/>
              <w:right w:type="dxa" w:w="100"/>
            </w:tcMar>
          </w:tcPr>
          <w:p>
            <w:r>
              <w:rPr>
                <w:rFonts w:ascii="Arial" w:cs="Arial" w:eastAsia="Arial" w:hAnsi="Arial"/>
                <w:sz w:val="18"/>
                <w:szCs w:val="18"/>
              </w:rPr>
              <w:t xml:space="preserve">Resistensi sejawat berulang seperti kegagalan DLP 2013–2015</w:t>
            </w:r>
          </w:p>
        </w:tc>
        <w:tc>
          <w:tcPr>
            <w:tcW w:type="dxa" w:w="1872"/>
            <w:shd w:fill="F2F4EF" w:val="clear"/>
            <w:tcMar>
              <w:top w:type="dxa" w:w="80"/>
              <w:left w:type="dxa" w:w="100"/>
              <w:bottom w:type="dxa" w:w="80"/>
              <w:right w:type="dxa" w:w="100"/>
            </w:tcMar>
          </w:tcPr>
          <w:p>
            <w:r>
              <w:rPr>
                <w:rFonts w:ascii="Arial" w:cs="Arial" w:eastAsia="Arial" w:hAnsi="Arial"/>
                <w:sz w:val="18"/>
                <w:szCs w:val="18"/>
              </w:rPr>
              <w:t xml:space="preserve">Jenjang karier baru tidak diminati, program macet</w:t>
            </w:r>
          </w:p>
        </w:tc>
        <w:tc>
          <w:tcPr>
            <w:tcW w:type="dxa" w:w="1872"/>
            <w:shd w:fill="F2F4EF" w:val="clear"/>
            <w:tcMar>
              <w:top w:type="dxa" w:w="80"/>
              <w:left w:type="dxa" w:w="100"/>
              <w:bottom w:type="dxa" w:w="80"/>
              <w:right w:type="dxa" w:w="100"/>
            </w:tcMar>
          </w:tcPr>
          <w:p>
            <w:r>
              <w:rPr>
                <w:rFonts w:ascii="Arial" w:cs="Arial" w:eastAsia="Arial" w:hAnsi="Arial"/>
                <w:sz w:val="18"/>
                <w:szCs w:val="18"/>
              </w:rPr>
              <w:t xml:space="preserve">Pelibatan dokter primer aktif dalam penyusunan standar + sosialisasi dini (Dokumen 4.2, 4.4)</w:t>
            </w:r>
          </w:p>
        </w:tc>
        <w:tc>
          <w:tcPr>
            <w:tcW w:type="dxa" w:w="1872"/>
            <w:shd w:fill="F2F4EF" w:val="clear"/>
            <w:tcMar>
              <w:top w:type="dxa" w:w="80"/>
              <w:left w:type="dxa" w:w="100"/>
              <w:bottom w:type="dxa" w:w="80"/>
              <w:right w:type="dxa" w:w="100"/>
            </w:tcMar>
          </w:tcPr>
          <w:p>
            <w:r>
              <w:rPr>
                <w:rFonts w:ascii="Arial" w:cs="Arial" w:eastAsia="Arial" w:hAnsi="Arial"/>
                <w:sz w:val="18"/>
                <w:szCs w:val="18"/>
              </w:rPr>
              <w:t xml:space="preserve">Kolegium &amp; PB IDI</w:t>
            </w:r>
          </w:p>
        </w:tc>
      </w:tr>
      <w:tr>
        <w:tc>
          <w:tcPr>
            <w:tcW w:type="dxa" w:w="1872"/>
            <w:shd w:fill="FFFFFF" w:val="clear"/>
            <w:tcMar>
              <w:top w:type="dxa" w:w="80"/>
              <w:left w:type="dxa" w:w="100"/>
              <w:bottom w:type="dxa" w:w="80"/>
              <w:right w:type="dxa" w:w="100"/>
            </w:tcMar>
          </w:tcPr>
          <w:p>
            <w:r>
              <w:rPr>
                <w:rFonts w:ascii="Arial" w:cs="Arial" w:eastAsia="Arial" w:hAnsi="Arial"/>
                <w:sz w:val="18"/>
                <w:szCs w:val="18"/>
              </w:rPr>
              <w:t xml:space="preserve">KL-04</w:t>
            </w:r>
          </w:p>
        </w:tc>
        <w:tc>
          <w:tcPr>
            <w:tcW w:type="dxa" w:w="1872"/>
            <w:shd w:fill="FFFFFF" w:val="clear"/>
            <w:tcMar>
              <w:top w:type="dxa" w:w="80"/>
              <w:left w:type="dxa" w:w="100"/>
              <w:bottom w:type="dxa" w:w="80"/>
              <w:right w:type="dxa" w:w="100"/>
            </w:tcMar>
          </w:tcPr>
          <w:p>
            <w:r>
              <w:rPr>
                <w:rFonts w:ascii="Arial" w:cs="Arial" w:eastAsia="Arial" w:hAnsi="Arial"/>
                <w:sz w:val="18"/>
                <w:szCs w:val="18"/>
              </w:rPr>
              <w:t xml:space="preserve">Angka kredit jabatan fungsional primer tidak setara RS</w:t>
            </w:r>
          </w:p>
        </w:tc>
        <w:tc>
          <w:tcPr>
            <w:tcW w:type="dxa" w:w="1872"/>
            <w:shd w:fill="FFFFFF" w:val="clear"/>
            <w:tcMar>
              <w:top w:type="dxa" w:w="80"/>
              <w:left w:type="dxa" w:w="100"/>
              <w:bottom w:type="dxa" w:w="80"/>
              <w:right w:type="dxa" w:w="100"/>
            </w:tcMar>
          </w:tcPr>
          <w:p>
            <w:r>
              <w:rPr>
                <w:rFonts w:ascii="Arial" w:cs="Arial" w:eastAsia="Arial" w:hAnsi="Arial"/>
                <w:sz w:val="18"/>
                <w:szCs w:val="18"/>
              </w:rPr>
              <w:t xml:space="preserve">Dokter tetap memilih RS, tujuan kebijakan gagal</w:t>
            </w:r>
          </w:p>
        </w:tc>
        <w:tc>
          <w:tcPr>
            <w:tcW w:type="dxa" w:w="1872"/>
            <w:shd w:fill="FFFFFF" w:val="clear"/>
            <w:tcMar>
              <w:top w:type="dxa" w:w="80"/>
              <w:left w:type="dxa" w:w="100"/>
              <w:bottom w:type="dxa" w:w="80"/>
              <w:right w:type="dxa" w:w="100"/>
            </w:tcMar>
          </w:tcPr>
          <w:p>
            <w:r>
              <w:rPr>
                <w:rFonts w:ascii="Arial" w:cs="Arial" w:eastAsia="Arial" w:hAnsi="Arial"/>
                <w:sz w:val="18"/>
                <w:szCs w:val="18"/>
              </w:rPr>
              <w:t xml:space="preserve">Kajian penyetaraan angka kredit sebagai syarat berlaku (Dokumen 4.5)</w:t>
            </w:r>
          </w:p>
        </w:tc>
        <w:tc>
          <w:tcPr>
            <w:tcW w:type="dxa" w:w="1872"/>
            <w:shd w:fill="FFFFFF" w:val="clear"/>
            <w:tcMar>
              <w:top w:type="dxa" w:w="80"/>
              <w:left w:type="dxa" w:w="100"/>
              <w:bottom w:type="dxa" w:w="80"/>
              <w:right w:type="dxa" w:w="100"/>
            </w:tcMar>
          </w:tcPr>
          <w:p>
            <w:r>
              <w:rPr>
                <w:rFonts w:ascii="Arial" w:cs="Arial" w:eastAsia="Arial" w:hAnsi="Arial"/>
                <w:sz w:val="18"/>
                <w:szCs w:val="18"/>
              </w:rPr>
              <w:t xml:space="preserve">Kementerian PANRB</w:t>
            </w:r>
          </w:p>
        </w:tc>
      </w:tr>
    </w:tbl>
    <w:p>
      <w:pPr>
        <w:pStyle w:val="Heading2"/>
        <w:spacing w:after="120" w:before="240"/>
      </w:pPr>
      <w:r>
        <w:t xml:space="preserve">Ketentuan Penutup</w:t>
      </w:r>
    </w:p>
    <w:p>
      <w:pPr>
        <w:spacing w:after="200"/>
      </w:pPr>
      <w:r>
        <w:rPr>
          <w:rFonts w:ascii="Arial" w:cs="Arial" w:eastAsia="Arial" w:hAnsi="Arial"/>
          <w:sz w:val="22"/>
          <w:szCs w:val="22"/>
        </w:rPr>
        <w:t xml:space="preserve">Register risiko ini ditinjau ulang setiap 6 (enam) bulan oleh unit koordinator implementasi lintas-klaster, dengan pemutakhiran status mitigasi pada setiap peninjauan.</w:t>
      </w:r>
    </w:p>
    <w:sectPr>
      <w:headerReference w:type="default" r:id="rId7"/>
      <w:footerReference w:type="default" r:id="rId8"/>
      <w:pgSz w:w="12240" w:h="15840" w:orient="portrait"/>
      <w:pgMar w:top="1300" w:right="1300" w:bottom="13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999999"/>
        <w:sz w:val="16"/>
        <w:szCs w:val="16"/>
      </w:rPr>
      <w:t xml:space="preserve">Halaman </w:t>
    </w:r>
    <w:r>
      <w:rPr>
        <w:rFonts w:ascii="Arial" w:cs="Arial" w:eastAsia="Arial" w:hAnsi="Arial"/>
        <w:color w:val="999999"/>
        <w:sz w:val="16"/>
        <w:szCs w:val="16"/>
      </w:rPr>
      <w:fldChar w:fldCharType="begin"/>
      <w:instrText xml:space="preserve">PAGE</w:instrText>
      <w:fldChar w:fldCharType="separate"/>
      <w:fldChar w:fldCharType="end"/>
    </w:r>
    <w:r>
      <w:rPr>
        <w:rFonts w:ascii="Arial" w:cs="Arial" w:eastAsia="Arial" w:hAnsi="Arial"/>
        <w:color w:val="999999"/>
        <w:sz w:val="16"/>
        <w:szCs w:val="16"/>
      </w:rPr>
      <w:t xml:space="preserve"> dari </w:t>
    </w:r>
    <w:r>
      <w:rPr>
        <w:rFonts w:ascii="Arial" w:cs="Arial" w:eastAsia="Arial" w:hAnsi="Arial"/>
        <w:color w:val="99999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color w:val="999999"/>
        <w:sz w:val="16"/>
        <w:szCs w:val="16"/>
      </w:rPr>
      <w:t xml:space="preserve">Lintas-Klaster — Edisi Juni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00"/>
    </w:pPr>
    <w:rPr>
      <w:rFonts w:ascii="Arial" w:cs="Arial" w:eastAsia="Arial" w:hAnsi="Arial"/>
      <w:b/>
      <w:bCs/>
      <w:color w:val="1F3A4D"/>
      <w:sz w:val="26"/>
      <w:szCs w:val="26"/>
    </w:rPr>
  </w:style>
  <w:style w:type="paragraph" w:styleId="Heading2">
    <w:name w:val="Heading 2"/>
    <w:basedOn w:val="Normal"/>
    <w:next w:val="Normal"/>
    <w:qFormat/>
    <w:pPr>
      <w:spacing w:after="100" w:before="160"/>
    </w:pPr>
    <w:rPr>
      <w:rFonts w:ascii="Arial" w:cs="Arial" w:eastAsia="Arial" w:hAnsi="Arial"/>
      <w:b/>
      <w:bCs/>
      <w:color w:val="8B5E2F"/>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2026-06-28T14:37:26.164Z</dcterms:created>
  <dcterms:modified xsi:type="dcterms:W3CDTF">2026-06-28T14:37:26.164Z</dcterms:modified>
</cp:coreProperties>
</file>

<file path=docProps/custom.xml><?xml version="1.0" encoding="utf-8"?>
<Properties xmlns="http://schemas.openxmlformats.org/officeDocument/2006/custom-properties" xmlns:vt="http://schemas.openxmlformats.org/officeDocument/2006/docPropsVTypes"/>
</file>