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dxa" w:w="9360"/>
            <w:tcBorders>
              <w:top w:val="single" w:color="C9882C" w:sz="4"/>
              <w:left w:val="single" w:color="C9882C" w:sz="4"/>
              <w:bottom w:val="single" w:color="C9882C" w:sz="4"/>
              <w:right w:val="single" w:color="C9882C" w:sz="4"/>
            </w:tcBorders>
            <w:shd w:fill="FFF3E0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8B5E2F"/>
                <w:sz w:val="21"/>
                <w:szCs w:val="21"/>
              </w:rPr>
              <w:t xml:space="preserve">STATUS DOKUMEN: RANCANGAN TEKNIS — BUKAN PRODUK HUKUM RESMI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i/>
                <w:iCs/>
                <w:sz w:val="18"/>
                <w:szCs w:val="18"/>
              </w:rPr>
              <w:t xml:space="preserve">Dokumen ini adalah bahan usulan teknis untuk mempercepat proses formal, bukan pengganti proses formal itu sendiri. Sebelum berkekuatan hukum, rancangan ini wajib melalui: (1) harmonisasi oleh Biro Hukum lembaga terkait, (2) pengecekan kesesuaian dengan peraturan yang lebih tinggi, (3) sesuai jenisnya, konsultasi publik dan/atau pembahasan lintas-kementerian, dan (4) pengundangan resmi. Ketentuan sanksi di dalamnya dibatasi pada kewenangan administratif yang sesuai dengan jenis dan jenjang lembaga penerbit; sanksi pidana hanya dapat diatur oleh undang-undang.</w:t>
            </w:r>
          </w:p>
        </w:tc>
      </w:tr>
    </w:tbl>
    <w:p>
      <w:pPr>
        <w:spacing w:after="40" w:before="200"/>
        <w:jc w:val="center"/>
      </w:pPr>
      <w:r>
        <w:rPr>
          <w:rFonts w:ascii="Arial" w:cs="Arial" w:eastAsia="Arial" w:hAnsi="Arial"/>
          <w:b/>
          <w:bCs/>
          <w:color w:val="8B5E2F"/>
          <w:sz w:val="20"/>
          <w:szCs w:val="20"/>
        </w:rPr>
        <w:t xml:space="preserve">DOKUMEN 4.4 — UNTUK: IKATAN DOKTER INDONESIA</w:t>
      </w:r>
    </w:p>
    <w:p>
      <w:pPr>
        <w:spacing w:after="6"/>
        <w:jc w:val="center"/>
      </w:pPr>
      <w:r>
        <w:rPr>
          <w:rFonts w:ascii="Arial" w:cs="Arial" w:eastAsia="Arial" w:hAnsi="Arial"/>
          <w:color w:val="4B5A60"/>
          <w:sz w:val="22"/>
          <w:szCs w:val="22"/>
        </w:rPr>
        <w:t xml:space="preserve">Bahan Usulan Teknis — bukan Regulasi, melainkan Pedoman Dukungan Profesi</w:t>
      </w:r>
    </w:p>
    <w:p>
      <w:pPr>
        <w:spacing w:after="200"/>
        <w:jc w:val="center"/>
      </w:pPr>
      <w:r>
        <w:rPr>
          <w:rFonts w:ascii="Cambria" w:cs="Cambria" w:eastAsia="Cambria" w:hAnsi="Cambria"/>
          <w:b/>
          <w:bCs/>
          <w:color w:val="1F3A4D"/>
          <w:sz w:val="30"/>
          <w:szCs w:val="30"/>
        </w:rPr>
        <w:t xml:space="preserve">Pedoman Rekomendasi Praktik dan Dukungan Profesi atas Jenjang Karier Layanan Primer</w:t>
      </w:r>
    </w:p>
    <w:p>
      <w:pPr>
        <w:pStyle w:val="Heading2"/>
        <w:spacing w:after="120" w:before="240"/>
      </w:pPr>
      <w:r>
        <w:t xml:space="preserve">Peran Konkret IDI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Tujuan: </w:t>
      </w:r>
      <w:r>
        <w:rPr>
          <w:rFonts w:ascii="Arial" w:cs="Arial" w:eastAsia="Arial" w:hAnsi="Arial"/>
          <w:sz w:val="22"/>
          <w:szCs w:val="22"/>
        </w:rPr>
        <w:t xml:space="preserve">Memberikan legitimasi profesi terhadap jenjang karier baru ini, mengingat resistensi sejawat adalah penyebab utama kegagalan konsep serupa pada 2013–2015.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Langkah konkret: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1. </w:t>
      </w:r>
      <w:r>
        <w:rPr>
          <w:rFonts w:ascii="Arial" w:cs="Arial" w:eastAsia="Arial" w:hAnsi="Arial"/>
          <w:sz w:val="22"/>
          <w:szCs w:val="22"/>
        </w:rPr>
        <w:t xml:space="preserve">Menyosialisasikan jenjang jabatan fungsional baru (Dokumen 4.1) kepada cabang IDI di seluruh kabupaten/kota sebagai peluang karier, bukan sekadar kewajiban administratif.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2. </w:t>
      </w:r>
      <w:r>
        <w:rPr>
          <w:rFonts w:ascii="Arial" w:cs="Arial" w:eastAsia="Arial" w:hAnsi="Arial"/>
          <w:sz w:val="22"/>
          <w:szCs w:val="22"/>
        </w:rPr>
        <w:t xml:space="preserve">Memberikan rekomendasi keanggotaan khusus atau pengakuan dalam struktur organisasi profesi bagi dokter layanan primer berjenjang tertinggi, sebagai bentuk pengakuan setara dengan spesialis.</w:t>
      </w:r>
    </w:p>
    <w:p>
      <w:pPr>
        <w:spacing w:after="40"/>
        <w:ind w:left="400"/>
      </w:pPr>
      <w:r>
        <w:rPr>
          <w:rFonts w:ascii="Arial" w:cs="Arial" w:eastAsia="Arial" w:hAnsi="Arial"/>
          <w:sz w:val="22"/>
          <w:szCs w:val="22"/>
        </w:rPr>
        <w:t xml:space="preserve">3. </w:t>
      </w:r>
      <w:r>
        <w:rPr>
          <w:rFonts w:ascii="Arial" w:cs="Arial" w:eastAsia="Arial" w:hAnsi="Arial"/>
          <w:sz w:val="22"/>
          <w:szCs w:val="22"/>
        </w:rPr>
        <w:t xml:space="preserve">Menjadi mitra dalam menyelesaikan keberatan/keluhan sejawat terhadap jenjang baru ini secara internal organisasi, sebelum eskalasi menjadi resistensi terbuka seperti yang terjadi pada konsep Dokter Layanan Primer sebelumnya.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Penanggung jawab: </w:t>
      </w:r>
      <w:r>
        <w:rPr>
          <w:rFonts w:ascii="Arial" w:cs="Arial" w:eastAsia="Arial" w:hAnsi="Arial"/>
          <w:sz w:val="22"/>
          <w:szCs w:val="22"/>
        </w:rPr>
        <w:t xml:space="preserve">Pengurus Besar IDI dan pengurus cabang</w:t>
      </w:r>
    </w:p>
    <w:p>
      <w:pPr>
        <w:spacing w:after="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Target waktu: </w:t>
      </w:r>
      <w:r>
        <w:rPr>
          <w:rFonts w:ascii="Arial" w:cs="Arial" w:eastAsia="Arial" w:hAnsi="Arial"/>
          <w:sz w:val="22"/>
          <w:szCs w:val="22"/>
        </w:rPr>
        <w:t xml:space="preserve">Sosialisasi dilakukan sebelum dan selama 6 bulan pertama Peraturan Menteri (Dokumen 4.1) berlaku</w:t>
      </w:r>
    </w:p>
    <w:p>
      <w:pPr>
        <w:spacing w:after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Indikator: </w:t>
      </w:r>
      <w:r>
        <w:rPr>
          <w:rFonts w:ascii="Arial" w:cs="Arial" w:eastAsia="Arial" w:hAnsi="Arial"/>
          <w:sz w:val="22"/>
          <w:szCs w:val="22"/>
        </w:rPr>
        <w:t xml:space="preserve">Tingkat penerimaan/partisipasi sukarela dokter pada jalur jenjang karier baru, dibandingkan tingkat resistensi yang tercatat pada konsep Dokter Layanan Primer 2013–2015</w:t>
      </w:r>
    </w:p>
    <w:sectPr>
      <w:headerReference w:type="default" r:id="rId7"/>
      <w:footerReference w:type="default" r:id="rId8"/>
      <w:pgSz w:w="12240" w:h="15840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6"/>
        <w:szCs w:val="16"/>
      </w:rPr>
      <w:t xml:space="preserve">Halaman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99999"/>
        <w:sz w:val="16"/>
        <w:szCs w:val="16"/>
      </w:rPr>
      <w:t xml:space="preserve"> dari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99999"/>
        <w:sz w:val="16"/>
        <w:szCs w:val="16"/>
      </w:rPr>
      <w:t xml:space="preserve">Klaster 4 — Jenjang Karier Layanan Primer · Edisi Juni 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00"/>
    </w:pPr>
    <w:rPr>
      <w:rFonts w:ascii="Arial" w:cs="Arial" w:eastAsia="Arial" w:hAnsi="Arial"/>
      <w:b/>
      <w:bCs/>
      <w:color w:val="1F3A4D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60"/>
    </w:pPr>
    <w:rPr>
      <w:rFonts w:ascii="Arial" w:cs="Arial" w:eastAsia="Arial" w:hAnsi="Arial"/>
      <w:b/>
      <w:bCs/>
      <w:color w:val="8B5E2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2026-06-28T09:25:03.761Z</dcterms:created>
  <dcterms:modified xsi:type="dcterms:W3CDTF">2026-06-28T09:25:03.761Z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