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60"/>
            <w:tcBorders>
              <w:top w:val="single" w:color="C9882C" w:sz="4"/>
              <w:left w:val="single" w:color="C9882C" w:sz="4"/>
              <w:bottom w:val="single" w:color="C9882C" w:sz="4"/>
              <w:right w:val="single" w:color="C9882C" w:sz="4"/>
            </w:tcBorders>
            <w:shd w:fill="FFF3E0" w:val="clear"/>
            <w:tcMar>
              <w:top w:type="dxa" w:w="160"/>
              <w:left w:type="dxa" w:w="200"/>
              <w:bottom w:type="dxa" w:w="160"/>
              <w:right w:type="dxa" w:w="200"/>
            </w:tcMar>
          </w:tcPr>
          <w:p>
            <w:r>
              <w:rPr>
                <w:rFonts w:ascii="Arial" w:cs="Arial" w:eastAsia="Arial" w:hAnsi="Arial"/>
                <w:b/>
                <w:bCs/>
                <w:color w:val="8B5E2F"/>
                <w:sz w:val="21"/>
                <w:szCs w:val="21"/>
              </w:rPr>
              <w:t xml:space="preserve">STATUS DOKUMEN: RANCANGAN TEKNIS — BUKAN PRODUK HUKUM RESMI</w:t>
            </w:r>
          </w:p>
          <w:p>
            <w:pPr>
              <w:spacing w:before="80"/>
            </w:pPr>
            <w:r>
              <w:rPr>
                <w:rFonts w:ascii="Arial" w:cs="Arial" w:eastAsia="Arial" w:hAnsi="Arial"/>
                <w:i/>
                <w:iCs/>
                <w:sz w:val="18"/>
                <w:szCs w:val="18"/>
              </w:rPr>
              <w:t xml:space="preserve">Dokumen ini adalah bahan usulan teknis untuk mempercepat proses formal, bukan pengganti proses formal itu sendiri. Sebelum berkekuatan hukum, rancangan ini wajib melalui: (1) harmonisasi oleh Biro Hukum lembaga terkait, (2) pengecekan kesesuaian dengan peraturan yang lebih tinggi, (3) sesuai jenisnya, konsultasi publik dan/atau pembahasan lintas-kementerian, dan (4) pengundangan resmi. Ketentuan sanksi di dalamnya dibatasi pada kewenangan administratif yang sesuai dengan jenis dan jenjang lembaga penerbit; sanksi pidana hanya dapat diatur oleh undang-undang.</w:t>
            </w:r>
          </w:p>
        </w:tc>
      </w:tr>
    </w:tbl>
    <w:p>
      <w:pPr>
        <w:spacing w:after="40" w:before="200"/>
        <w:jc w:val="center"/>
      </w:pPr>
      <w:r>
        <w:rPr>
          <w:rFonts w:ascii="Arial" w:cs="Arial" w:eastAsia="Arial" w:hAnsi="Arial"/>
          <w:b/>
          <w:bCs/>
          <w:color w:val="8B5E2F"/>
          <w:sz w:val="20"/>
          <w:szCs w:val="20"/>
        </w:rPr>
        <w:t xml:space="preserve">DOKUMEN 4.2 — UNTUK: KOLEGIUM</w:t>
      </w:r>
    </w:p>
    <w:p>
      <w:pPr>
        <w:spacing w:after="6"/>
        <w:jc w:val="center"/>
      </w:pPr>
      <w:r>
        <w:rPr>
          <w:rFonts w:ascii="Arial" w:cs="Arial" w:eastAsia="Arial" w:hAnsi="Arial"/>
          <w:color w:val="4B5A60"/>
          <w:sz w:val="22"/>
          <w:szCs w:val="22"/>
        </w:rPr>
        <w:t xml:space="preserve">Bahan Usulan Teknis — bukan Regulasi, melainkan Pedoman Pengakuan Kompetensi</w:t>
      </w:r>
    </w:p>
    <w:p>
      <w:pPr>
        <w:spacing w:after="200"/>
        <w:jc w:val="center"/>
      </w:pPr>
      <w:r>
        <w:rPr>
          <w:rFonts w:ascii="Cambria" w:cs="Cambria" w:eastAsia="Cambria" w:hAnsi="Cambria"/>
          <w:b/>
          <w:bCs/>
          <w:color w:val="1F3A4D"/>
          <w:sz w:val="30"/>
          <w:szCs w:val="30"/>
        </w:rPr>
        <w:t xml:space="preserve">Pedoman Pengakuan Kompetensi Setara Spesialis bagi Dokter Layanan Primer</w:t>
      </w:r>
    </w:p>
    <w:p>
      <w:pPr>
        <w:pStyle w:val="Heading2"/>
        <w:spacing w:after="120" w:before="240"/>
      </w:pPr>
      <w:r>
        <w:t xml:space="preserve">Peran Konkret Kolegium</w:t>
      </w:r>
    </w:p>
    <w:p>
      <w:pPr>
        <w:spacing w:after="60"/>
      </w:pPr>
      <w:r>
        <w:rPr>
          <w:rFonts w:ascii="Arial" w:cs="Arial" w:eastAsia="Arial" w:hAnsi="Arial"/>
          <w:b/>
          <w:bCs/>
          <w:sz w:val="22"/>
          <w:szCs w:val="22"/>
        </w:rPr>
        <w:t xml:space="preserve">Tujuan: </w:t>
      </w:r>
      <w:r>
        <w:rPr>
          <w:rFonts w:ascii="Arial" w:cs="Arial" w:eastAsia="Arial" w:hAnsi="Arial"/>
          <w:sz w:val="22"/>
          <w:szCs w:val="22"/>
        </w:rPr>
        <w:t xml:space="preserve">Mencegah pengulangan kegagalan konsep Dokter Layanan Primer 2013–2015 dengan memastikan kompetensi yang diakui jelas batasannya dan tidak tumpang tindih dengan dokter umum maupun spesialis penuh.</w:t>
      </w:r>
    </w:p>
    <w:p>
      <w:pPr>
        <w:spacing w:after="40"/>
      </w:pPr>
      <w:r>
        <w:rPr>
          <w:rFonts w:ascii="Arial" w:cs="Arial" w:eastAsia="Arial" w:hAnsi="Arial"/>
          <w:b/>
          <w:bCs/>
          <w:sz w:val="22"/>
          <w:szCs w:val="22"/>
        </w:rPr>
        <w:t xml:space="preserve">Langkah konkret:</w:t>
      </w:r>
    </w:p>
    <w:p>
      <w:pPr>
        <w:spacing w:after="40"/>
        <w:ind w:left="400"/>
      </w:pPr>
      <w:r>
        <w:rPr>
          <w:rFonts w:ascii="Arial" w:cs="Arial" w:eastAsia="Arial" w:hAnsi="Arial"/>
          <w:sz w:val="22"/>
          <w:szCs w:val="22"/>
        </w:rPr>
        <w:t xml:space="preserve">1. </w:t>
      </w:r>
      <w:r>
        <w:rPr>
          <w:rFonts w:ascii="Arial" w:cs="Arial" w:eastAsia="Arial" w:hAnsi="Arial"/>
          <w:sz w:val="22"/>
          <w:szCs w:val="22"/>
        </w:rPr>
        <w:t xml:space="preserve">Menyusun daftar kompetensi tambahan spesifik layanan primer (bukan gelar baru) yang dapat diakui secara formal melalui jalur pendidikan berbasis tempat kerja (Dokumen 4.1 Pasal 2), dengan batasan kompetensi yang eksplisit dan terpisah dari kompetensi dokter spesialis penuh.</w:t>
      </w:r>
    </w:p>
    <w:p>
      <w:pPr>
        <w:spacing w:after="40"/>
        <w:ind w:left="400"/>
      </w:pPr>
      <w:r>
        <w:rPr>
          <w:rFonts w:ascii="Arial" w:cs="Arial" w:eastAsia="Arial" w:hAnsi="Arial"/>
          <w:sz w:val="22"/>
          <w:szCs w:val="22"/>
        </w:rPr>
        <w:t xml:space="preserve">2. </w:t>
      </w:r>
      <w:r>
        <w:rPr>
          <w:rFonts w:ascii="Arial" w:cs="Arial" w:eastAsia="Arial" w:hAnsi="Arial"/>
          <w:sz w:val="22"/>
          <w:szCs w:val="22"/>
        </w:rPr>
        <w:t xml:space="preserve">Menetapkan standar uji kompetensi yang setara bobotnya dengan jalur pendidikan spesialis reguler, untuk menjaga mutu dan mencegah persepsi 'jalur pintas'.</w:t>
      </w:r>
    </w:p>
    <w:p>
      <w:pPr>
        <w:spacing w:after="40"/>
        <w:ind w:left="400"/>
      </w:pPr>
      <w:r>
        <w:rPr>
          <w:rFonts w:ascii="Arial" w:cs="Arial" w:eastAsia="Arial" w:hAnsi="Arial"/>
          <w:sz w:val="22"/>
          <w:szCs w:val="22"/>
        </w:rPr>
        <w:t xml:space="preserve">3. </w:t>
      </w:r>
      <w:r>
        <w:rPr>
          <w:rFonts w:ascii="Arial" w:cs="Arial" w:eastAsia="Arial" w:hAnsi="Arial"/>
          <w:sz w:val="22"/>
          <w:szCs w:val="22"/>
        </w:rPr>
        <w:t xml:space="preserve">Melibatkan perwakilan dokter layanan primer aktif dalam penyusunan standar, sebagai pembelajaran dari kegagalan konsultasi pada perumusan Dokter Layanan Primer 2013–2015.</w:t>
      </w:r>
    </w:p>
    <w:p>
      <w:pPr>
        <w:spacing w:after="40" w:before="80"/>
      </w:pPr>
      <w:r>
        <w:rPr>
          <w:rFonts w:ascii="Arial" w:cs="Arial" w:eastAsia="Arial" w:hAnsi="Arial"/>
          <w:b/>
          <w:bCs/>
          <w:sz w:val="22"/>
          <w:szCs w:val="22"/>
        </w:rPr>
        <w:t xml:space="preserve">Penanggung jawab: </w:t>
      </w:r>
      <w:r>
        <w:rPr>
          <w:rFonts w:ascii="Arial" w:cs="Arial" w:eastAsia="Arial" w:hAnsi="Arial"/>
          <w:sz w:val="22"/>
          <w:szCs w:val="22"/>
        </w:rPr>
        <w:t xml:space="preserve">Ketua Kolegium terkait, bekerja sama dengan asosiasi dokter layanan primer</w:t>
      </w:r>
    </w:p>
    <w:p>
      <w:pPr>
        <w:spacing w:after="40"/>
      </w:pPr>
      <w:r>
        <w:rPr>
          <w:rFonts w:ascii="Arial" w:cs="Arial" w:eastAsia="Arial" w:hAnsi="Arial"/>
          <w:b/>
          <w:bCs/>
          <w:sz w:val="22"/>
          <w:szCs w:val="22"/>
        </w:rPr>
        <w:t xml:space="preserve">Target waktu: </w:t>
      </w:r>
      <w:r>
        <w:rPr>
          <w:rFonts w:ascii="Arial" w:cs="Arial" w:eastAsia="Arial" w:hAnsi="Arial"/>
          <w:sz w:val="22"/>
          <w:szCs w:val="22"/>
        </w:rPr>
        <w:t xml:space="preserve">Daftar kompetensi dan standar uji ditetapkan sebelum Peraturan Menteri (Dokumen 4.1) diberlakukan efektif</w:t>
      </w:r>
    </w:p>
    <w:p>
      <w:pPr>
        <w:spacing w:after="200"/>
      </w:pPr>
      <w:r>
        <w:rPr>
          <w:rFonts w:ascii="Arial" w:cs="Arial" w:eastAsia="Arial" w:hAnsi="Arial"/>
          <w:b/>
          <w:bCs/>
          <w:sz w:val="22"/>
          <w:szCs w:val="22"/>
        </w:rPr>
        <w:t xml:space="preserve">Indikator: </w:t>
      </w:r>
      <w:r>
        <w:rPr>
          <w:rFonts w:ascii="Arial" w:cs="Arial" w:eastAsia="Arial" w:hAnsi="Arial"/>
          <w:sz w:val="22"/>
          <w:szCs w:val="22"/>
        </w:rPr>
        <w:t xml:space="preserve">Tersedianya daftar kompetensi yang disahkan Kolegium dan diterima sebagai rujukan dalam Peraturan Menteri</w:t>
      </w:r>
    </w:p>
    <w:sectPr>
      <w:headerReference w:type="default" r:id="rId7"/>
      <w:footerReference w:type="default" r:id="rId8"/>
      <w:pgSz w:w="12240" w:h="15840" w:orient="portrait"/>
      <w:pgMar w:top="1300" w:right="1300" w:bottom="13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Halaman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dari </w:t>
    </w:r>
    <w:r>
      <w:rPr>
        <w:rFonts w:ascii="Arial" w:cs="Arial" w:eastAsia="Arial" w:hAnsi="Arial"/>
        <w:color w:val="99999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Klaster 4 — Jenjang Karier Layanan Primer · Edisi Juni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00"/>
    </w:pPr>
    <w:rPr>
      <w:rFonts w:ascii="Arial" w:cs="Arial" w:eastAsia="Arial" w:hAnsi="Arial"/>
      <w:b/>
      <w:bCs/>
      <w:color w:val="1F3A4D"/>
      <w:sz w:val="26"/>
      <w:szCs w:val="26"/>
    </w:rPr>
  </w:style>
  <w:style w:type="paragraph" w:styleId="Heading2">
    <w:name w:val="Heading 2"/>
    <w:basedOn w:val="Normal"/>
    <w:next w:val="Normal"/>
    <w:qFormat/>
    <w:pPr>
      <w:spacing w:after="100" w:before="160"/>
    </w:pPr>
    <w:rPr>
      <w:rFonts w:ascii="Arial" w:cs="Arial" w:eastAsia="Arial" w:hAnsi="Arial"/>
      <w:b/>
      <w:bCs/>
      <w:color w:val="8B5E2F"/>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2026-06-28T09:25:03.701Z</dcterms:created>
  <dcterms:modified xsi:type="dcterms:W3CDTF">2026-06-28T09:25:03.701Z</dcterms:modified>
</cp:coreProperties>
</file>

<file path=docProps/custom.xml><?xml version="1.0" encoding="utf-8"?>
<Properties xmlns="http://schemas.openxmlformats.org/officeDocument/2006/custom-properties" xmlns:vt="http://schemas.openxmlformats.org/officeDocument/2006/docPropsVTypes"/>
</file>