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C9882C" w:sz="4"/>
              <w:left w:val="single" w:color="C9882C" w:sz="4"/>
              <w:bottom w:val="single" w:color="C9882C" w:sz="4"/>
              <w:right w:val="single" w:color="C9882C" w:sz="4"/>
            </w:tcBorders>
            <w:shd w:fill="FFF3E0" w:val="clear"/>
            <w:tcMar>
              <w:top w:type="dxa" w:w="160"/>
              <w:left w:type="dxa" w:w="200"/>
              <w:bottom w:type="dxa" w:w="160"/>
              <w:right w:type="dxa" w:w="200"/>
            </w:tcMar>
          </w:tcPr>
          <w:p>
            <w:r>
              <w:rPr>
                <w:rFonts w:ascii="Arial" w:cs="Arial" w:eastAsia="Arial" w:hAnsi="Arial"/>
                <w:b/>
                <w:bCs/>
                <w:color w:val="8B5E2F"/>
                <w:sz w:val="21"/>
                <w:szCs w:val="21"/>
              </w:rPr>
              <w:t xml:space="preserve">STATUS DOKUMEN: RANCANGAN TEKNIS — BUKAN PRODUK HUKUM RESMI</w:t>
            </w:r>
          </w:p>
          <w:p>
            <w:pPr>
              <w:spacing w:before="80"/>
            </w:pPr>
            <w:r>
              <w:rPr>
                <w:rFonts w:ascii="Arial" w:cs="Arial" w:eastAsia="Arial" w:hAnsi="Arial"/>
                <w:i/>
                <w:iCs/>
                <w:sz w:val="18"/>
                <w:szCs w:val="18"/>
              </w:rPr>
              <w:t xml:space="preserve">Dokumen ini adalah bahan usulan teknis untuk mempercepat proses formal, bukan pengganti proses formal itu sendiri. Sebelum berkekuatan hukum, rancangan ini wajib melalui: (1) harmonisasi oleh Biro Hukum lembaga terkait, (2) pengecekan kesesuaian dengan peraturan yang lebih tinggi, (3) sesuai jenisnya, konsultasi publik dan/atau pembahasan lintas-kementerian, dan (4) pengundangan resmi. Ketentuan sanksi di dalamnya dibatasi pada kewenangan administratif yang sesuai dengan jenis dan jenjang lembaga penerbit; sanksi pidana hanya dapat diatur oleh undang-undang.</w:t>
            </w:r>
          </w:p>
        </w:tc>
      </w:tr>
    </w:tbl>
    <w:p>
      <w:pPr>
        <w:spacing w:after="40" w:before="200"/>
        <w:jc w:val="center"/>
      </w:pPr>
      <w:r>
        <w:rPr>
          <w:rFonts w:ascii="Arial" w:cs="Arial" w:eastAsia="Arial" w:hAnsi="Arial"/>
          <w:b/>
          <w:bCs/>
          <w:color w:val="8B5E2F"/>
          <w:sz w:val="20"/>
          <w:szCs w:val="20"/>
        </w:rPr>
        <w:t xml:space="preserve">DOKUMEN 3.5 — UNTUK: KEMENTERIAN KESEHATAN (UNIT SISTEM INFORMASI)</w:t>
      </w:r>
    </w:p>
    <w:p>
      <w:pPr>
        <w:spacing w:after="6"/>
        <w:jc w:val="center"/>
      </w:pPr>
      <w:r>
        <w:rPr>
          <w:rFonts w:ascii="Arial" w:cs="Arial" w:eastAsia="Arial" w:hAnsi="Arial"/>
          <w:color w:val="4B5A60"/>
          <w:sz w:val="22"/>
          <w:szCs w:val="22"/>
        </w:rPr>
        <w:t xml:space="preserve">Bahan Usulan Teknis — Pelengkap Hasil Audit Kecukupan, Juni 2026</w:t>
      </w:r>
    </w:p>
    <w:p>
      <w:pPr>
        <w:spacing w:after="200"/>
        <w:jc w:val="center"/>
      </w:pPr>
      <w:r>
        <w:rPr>
          <w:rFonts w:ascii="Cambria" w:cs="Cambria" w:eastAsia="Cambria" w:hAnsi="Cambria"/>
          <w:b/>
          <w:bCs/>
          <w:color w:val="1F3A4D"/>
          <w:sz w:val="30"/>
          <w:szCs w:val="30"/>
        </w:rPr>
        <w:t xml:space="preserve">Pedoman Teknis Sistem Informasi Penempatan dan Surat Tugas Tenaga Medis</w:t>
      </w:r>
    </w:p>
    <w:p>
      <w:pPr>
        <w:pStyle w:val="Heading2"/>
        <w:spacing w:after="120" w:before="240"/>
      </w:pPr>
      <w:r>
        <w:t xml:space="preserve">Menimbang</w:t>
      </w:r>
    </w:p>
    <w:p>
      <w:pPr>
        <w:spacing w:after="80"/>
        <w:ind w:left="400"/>
      </w:pPr>
      <w:r>
        <w:rPr>
          <w:rFonts w:ascii="Arial" w:cs="Arial" w:eastAsia="Arial" w:hAnsi="Arial"/>
          <w:b/>
          <w:bCs/>
          <w:sz w:val="22"/>
          <w:szCs w:val="22"/>
        </w:rPr>
        <w:t xml:space="preserve">a. </w:t>
      </w:r>
      <w:r>
        <w:rPr>
          <w:rFonts w:ascii="Arial" w:cs="Arial" w:eastAsia="Arial" w:hAnsi="Arial"/>
          <w:i/>
          <w:iCs/>
          <w:sz w:val="22"/>
          <w:szCs w:val="22"/>
        </w:rPr>
        <w:t xml:space="preserve">bahwa Dokumen 3.1 Pasal 3 mensyaratkan permohonan surat tugas lintas-wilayah diproses melalui sistem informasi daring terintegrasi, namun spesifikasi teknis sistem tersebut belum dirumuskan;</w:t>
      </w:r>
    </w:p>
    <w:p>
      <w:pPr>
        <w:spacing w:after="80"/>
        <w:ind w:left="400"/>
      </w:pPr>
      <w:r>
        <w:rPr>
          <w:rFonts w:ascii="Arial" w:cs="Arial" w:eastAsia="Arial" w:hAnsi="Arial"/>
          <w:b/>
          <w:bCs/>
          <w:sz w:val="22"/>
          <w:szCs w:val="22"/>
        </w:rPr>
        <w:t xml:space="preserve">b. </w:t>
      </w:r>
      <w:r>
        <w:rPr>
          <w:rFonts w:ascii="Arial" w:cs="Arial" w:eastAsia="Arial" w:hAnsi="Arial"/>
          <w:i/>
          <w:iCs/>
          <w:sz w:val="22"/>
          <w:szCs w:val="22"/>
        </w:rPr>
        <w:t xml:space="preserve">bahwa tanpa basis data yang akurat dan terbarui, mekanisme surat tugas maupun prioritas formasi (Dokumen 2.3, 3.2, 3.3) tidak dapat berjalan efektif.</w:t>
      </w:r>
    </w:p>
    <w:p>
      <w:pPr>
        <w:spacing w:after="120" w:before="280"/>
      </w:pPr>
      <w:r>
        <w:rPr>
          <w:rFonts w:ascii="Arial" w:cs="Arial" w:eastAsia="Arial" w:hAnsi="Arial"/>
          <w:b/>
          <w:bCs/>
          <w:color w:val="1F3A4D"/>
          <w:sz w:val="24"/>
          <w:szCs w:val="24"/>
        </w:rPr>
        <w:t xml:space="preserve">BAB I</w:t>
      </w:r>
      <w:r>
        <w:rPr>
          <w:rFonts w:ascii="Arial" w:cs="Arial" w:eastAsia="Arial" w:hAnsi="Arial"/>
          <w:b/>
          <w:bCs/>
          <w:color w:val="1F3A4D"/>
          <w:sz w:val="24"/>
          <w:szCs w:val="24"/>
        </w:rPr>
        <w:t xml:space="preserve">  Komponen Data Minimum</w:t>
      </w:r>
    </w:p>
    <w:p>
      <w:pPr>
        <w:spacing w:after="60" w:before="140"/>
      </w:pPr>
      <w:r>
        <w:rPr>
          <w:rFonts w:ascii="Arial" w:cs="Arial" w:eastAsia="Arial" w:hAnsi="Arial"/>
          <w:b/>
          <w:bCs/>
          <w:sz w:val="22"/>
          <w:szCs w:val="22"/>
        </w:rPr>
        <w:t xml:space="preserve">Pasal 1</w:t>
      </w:r>
    </w:p>
    <w:p>
      <w:pPr>
        <w:spacing w:after="40"/>
        <w:ind w:left="300"/>
      </w:pPr>
      <w:r>
        <w:rPr>
          <w:rFonts w:ascii="Arial" w:cs="Arial" w:eastAsia="Arial" w:hAnsi="Arial"/>
          <w:b/>
          <w:bCs/>
          <w:sz w:val="22"/>
          <w:szCs w:val="22"/>
        </w:rPr>
        <w:t xml:space="preserve"/>
      </w:r>
      <w:r>
        <w:rPr>
          <w:rFonts w:ascii="Arial" w:cs="Arial" w:eastAsia="Arial" w:hAnsi="Arial"/>
          <w:sz w:val="22"/>
          <w:szCs w:val="22"/>
        </w:rPr>
        <w:t xml:space="preserve">Sistem informasi memuat sekurang-kurangnya:</w:t>
      </w:r>
    </w:p>
    <w:p>
      <w:pPr>
        <w:spacing w:after="40"/>
        <w:ind w:left="700"/>
      </w:pPr>
      <w:r>
        <w:rPr>
          <w:rFonts w:ascii="Arial" w:cs="Arial" w:eastAsia="Arial" w:hAnsi="Arial"/>
          <w:sz w:val="22"/>
          <w:szCs w:val="22"/>
        </w:rPr>
        <w:t xml:space="preserve">a. </w:t>
      </w:r>
      <w:r>
        <w:rPr>
          <w:rFonts w:ascii="Arial" w:cs="Arial" w:eastAsia="Arial" w:hAnsi="Arial"/>
          <w:sz w:val="22"/>
          <w:szCs w:val="22"/>
        </w:rPr>
        <w:t xml:space="preserve">data registrasi dan lokasi praktik aktif seluruh dokter dan dokter spesialis secara nasional;</w:t>
      </w:r>
    </w:p>
    <w:p>
      <w:pPr>
        <w:spacing w:after="40"/>
        <w:ind w:left="700"/>
      </w:pPr>
      <w:r>
        <w:rPr>
          <w:rFonts w:ascii="Arial" w:cs="Arial" w:eastAsia="Arial" w:hAnsi="Arial"/>
          <w:sz w:val="22"/>
          <w:szCs w:val="22"/>
        </w:rPr>
        <w:t xml:space="preserve">b. </w:t>
      </w:r>
      <w:r>
        <w:rPr>
          <w:rFonts w:ascii="Arial" w:cs="Arial" w:eastAsia="Arial" w:hAnsi="Arial"/>
          <w:sz w:val="22"/>
          <w:szCs w:val="22"/>
        </w:rPr>
        <w:t xml:space="preserve">daftar fasilitas pelayanan kesehatan primer dan rumah sakit kabupaten/kota beserta status kelengkapan jenis tenaga medisnya, diperbarui setiap semester;</w:t>
      </w:r>
    </w:p>
    <w:p>
      <w:pPr>
        <w:spacing w:after="40"/>
        <w:ind w:left="700"/>
      </w:pPr>
      <w:r>
        <w:rPr>
          <w:rFonts w:ascii="Arial" w:cs="Arial" w:eastAsia="Arial" w:hAnsi="Arial"/>
          <w:sz w:val="22"/>
          <w:szCs w:val="22"/>
        </w:rPr>
        <w:t xml:space="preserve">c. </w:t>
      </w:r>
      <w:r>
        <w:rPr>
          <w:rFonts w:ascii="Arial" w:cs="Arial" w:eastAsia="Arial" w:hAnsi="Arial"/>
          <w:sz w:val="22"/>
          <w:szCs w:val="22"/>
        </w:rPr>
        <w:t xml:space="preserve">status permohonan dan riwayat penerbitan surat tugas lintas-wilayah.</w:t>
      </w:r>
    </w:p>
    <w:p>
      <w:pPr>
        <w:spacing w:after="120" w:before="280"/>
      </w:pPr>
      <w:r>
        <w:rPr>
          <w:rFonts w:ascii="Arial" w:cs="Arial" w:eastAsia="Arial" w:hAnsi="Arial"/>
          <w:b/>
          <w:bCs/>
          <w:color w:val="1F3A4D"/>
          <w:sz w:val="24"/>
          <w:szCs w:val="24"/>
        </w:rPr>
        <w:t xml:space="preserve">BAB II</w:t>
      </w:r>
      <w:r>
        <w:rPr>
          <w:rFonts w:ascii="Arial" w:cs="Arial" w:eastAsia="Arial" w:hAnsi="Arial"/>
          <w:b/>
          <w:bCs/>
          <w:color w:val="1F3A4D"/>
          <w:sz w:val="24"/>
          <w:szCs w:val="24"/>
        </w:rPr>
        <w:t xml:space="preserve">  Integrasi Antar-Sistem</w:t>
      </w:r>
    </w:p>
    <w:p>
      <w:pPr>
        <w:spacing w:after="60" w:before="140"/>
      </w:pPr>
      <w:r>
        <w:rPr>
          <w:rFonts w:ascii="Arial" w:cs="Arial" w:eastAsia="Arial" w:hAnsi="Arial"/>
          <w:b/>
          <w:bCs/>
          <w:sz w:val="22"/>
          <w:szCs w:val="22"/>
        </w:rPr>
        <w:t xml:space="preserve">Pasal 2</w:t>
      </w:r>
    </w:p>
    <w:p>
      <w:pPr>
        <w:spacing w:after="80"/>
        <w:ind w:left="300"/>
      </w:pPr>
      <w:r>
        <w:rPr>
          <w:rFonts w:ascii="Arial" w:cs="Arial" w:eastAsia="Arial" w:hAnsi="Arial"/>
          <w:b/>
          <w:bCs/>
          <w:sz w:val="22"/>
          <w:szCs w:val="22"/>
        </w:rPr>
        <w:t xml:space="preserve">(1) </w:t>
      </w:r>
      <w:r>
        <w:rPr>
          <w:rFonts w:ascii="Arial" w:cs="Arial" w:eastAsia="Arial" w:hAnsi="Arial"/>
          <w:sz w:val="22"/>
          <w:szCs w:val="22"/>
        </w:rPr>
        <w:t xml:space="preserve">Sistem informasi ini terhubung dengan basis data registrasi Konsil Kedokteran Indonesia dan basis data formasi Aparatur Sipil Negara Kementerian PANRB, untuk menghindari duplikasi pendataan.</w:t>
      </w:r>
    </w:p>
    <w:p>
      <w:pPr>
        <w:spacing w:after="80"/>
        <w:ind w:left="300"/>
      </w:pPr>
      <w:r>
        <w:rPr>
          <w:rFonts w:ascii="Arial" w:cs="Arial" w:eastAsia="Arial" w:hAnsi="Arial"/>
          <w:b/>
          <w:bCs/>
          <w:sz w:val="22"/>
          <w:szCs w:val="22"/>
        </w:rPr>
        <w:t xml:space="preserve">(2) </w:t>
      </w:r>
      <w:r>
        <w:rPr>
          <w:rFonts w:ascii="Arial" w:cs="Arial" w:eastAsia="Arial" w:hAnsi="Arial"/>
          <w:sz w:val="22"/>
          <w:szCs w:val="22"/>
        </w:rPr>
        <w:t xml:space="preserve">Akses data agregat (bukan data individual) disediakan bagi Kementerian Dalam Negeri untuk keperluan pemantauan kepatuhan pemerintah daerah sebagaimana dimaksud dalam Dokumen 3.3.</w:t>
      </w:r>
    </w:p>
    <w:p>
      <w:pPr>
        <w:spacing w:after="120" w:before="280"/>
      </w:pPr>
      <w:r>
        <w:rPr>
          <w:rFonts w:ascii="Arial" w:cs="Arial" w:eastAsia="Arial" w:hAnsi="Arial"/>
          <w:b/>
          <w:bCs/>
          <w:color w:val="1F3A4D"/>
          <w:sz w:val="24"/>
          <w:szCs w:val="24"/>
        </w:rPr>
        <w:t xml:space="preserve">BAB III</w:t>
      </w:r>
      <w:r>
        <w:rPr>
          <w:rFonts w:ascii="Arial" w:cs="Arial" w:eastAsia="Arial" w:hAnsi="Arial"/>
          <w:b/>
          <w:bCs/>
          <w:color w:val="1F3A4D"/>
          <w:sz w:val="24"/>
          <w:szCs w:val="24"/>
        </w:rPr>
        <w:t xml:space="preserve">  Keamanan dan Privasi Data</w:t>
      </w:r>
    </w:p>
    <w:p>
      <w:pPr>
        <w:spacing w:after="60" w:before="140"/>
      </w:pPr>
      <w:r>
        <w:rPr>
          <w:rFonts w:ascii="Arial" w:cs="Arial" w:eastAsia="Arial" w:hAnsi="Arial"/>
          <w:b/>
          <w:bCs/>
          <w:sz w:val="22"/>
          <w:szCs w:val="22"/>
        </w:rPr>
        <w:t xml:space="preserve">Pasal 3</w:t>
      </w:r>
    </w:p>
    <w:p>
      <w:pPr>
        <w:spacing w:after="80"/>
        <w:ind w:left="300"/>
      </w:pPr>
      <w:r>
        <w:rPr>
          <w:rFonts w:ascii="Arial" w:cs="Arial" w:eastAsia="Arial" w:hAnsi="Arial"/>
          <w:b/>
          <w:bCs/>
          <w:sz w:val="22"/>
          <w:szCs w:val="22"/>
        </w:rPr>
        <w:t xml:space="preserve"/>
      </w:r>
      <w:r>
        <w:rPr>
          <w:rFonts w:ascii="Arial" w:cs="Arial" w:eastAsia="Arial" w:hAnsi="Arial"/>
          <w:sz w:val="22"/>
          <w:szCs w:val="22"/>
        </w:rPr>
        <w:t xml:space="preserve">Data registrasi individual dokter dilindungi sesuai ketentuan peraturan perlindungan data pribadi yang berlaku, dengan akses terbatas pada petugas yang berwenang.</w:t>
      </w:r>
    </w:p>
    <w:p>
      <w:pPr>
        <w:pStyle w:val="Heading2"/>
        <w:spacing w:after="120" w:before="240"/>
      </w:pPr>
      <w:r>
        <w:t xml:space="preserve">Ketentuan Penutup</w:t>
      </w:r>
    </w:p>
    <w:p>
      <w:pPr>
        <w:spacing w:after="200"/>
      </w:pPr>
      <w:r>
        <w:rPr>
          <w:rFonts w:ascii="Arial" w:cs="Arial" w:eastAsia="Arial" w:hAnsi="Arial"/>
          <w:sz w:val="22"/>
          <w:szCs w:val="22"/>
        </w:rPr>
        <w:t xml:space="preserve">Pedoman ini menjadi acuan teknis pengembangan sistem informasi yang mendukung pelaksanaan Dokumen 3.1, 3.2, dan 3.3, dengan target sistem berfungsi paling lambat bersamaan dengan penetapan Peraturan Menteri sebagaimana dimaksud dalam Dokumen 3.1.</w:t>
      </w:r>
    </w:p>
    <w:sectPr>
      <w:headerReference w:type="default" r:id="rId7"/>
      <w:footerReference w:type="default" r:id="rId8"/>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Halaman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dari </w:t>
    </w:r>
    <w:r>
      <w:rPr>
        <w:rFonts w:ascii="Arial" w:cs="Arial" w:eastAsia="Arial" w:hAnsi="Arial"/>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Klaster 3 — Distribusi Dokter · Edisi Juni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00"/>
    </w:pPr>
    <w:rPr>
      <w:rFonts w:ascii="Arial" w:cs="Arial" w:eastAsia="Arial" w:hAnsi="Arial"/>
      <w:b/>
      <w:bCs/>
      <w:color w:val="1F3A4D"/>
      <w:sz w:val="26"/>
      <w:szCs w:val="26"/>
    </w:rPr>
  </w:style>
  <w:style w:type="paragraph" w:styleId="Heading2">
    <w:name w:val="Heading 2"/>
    <w:basedOn w:val="Normal"/>
    <w:next w:val="Normal"/>
    <w:qFormat/>
    <w:pPr>
      <w:spacing w:after="100" w:before="160"/>
    </w:pPr>
    <w:rPr>
      <w:rFonts w:ascii="Arial" w:cs="Arial" w:eastAsia="Arial" w:hAnsi="Arial"/>
      <w:b/>
      <w:bCs/>
      <w:color w:val="8B5E2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2026-06-27T15:17:25.905Z</dcterms:created>
  <dcterms:modified xsi:type="dcterms:W3CDTF">2026-06-27T15:17:25.905Z</dcterms:modified>
</cp:coreProperties>
</file>

<file path=docProps/custom.xml><?xml version="1.0" encoding="utf-8"?>
<Properties xmlns="http://schemas.openxmlformats.org/officeDocument/2006/custom-properties" xmlns:vt="http://schemas.openxmlformats.org/officeDocument/2006/docPropsVTypes"/>
</file>