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3.4 — UNTUK: UNIVERSITAS DAN FAKULTAS KEDOKTERAN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Pedoman Kerja Sama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Kerja Sama: Kurikulum dan Kuota Prioritas Daerah dalam Pendidikan Dokter Spesialis</w:t>
      </w:r>
    </w:p>
    <w:p>
      <w:pPr>
        <w:pStyle w:val="Heading2"/>
        <w:spacing w:after="120" w:before="240"/>
      </w:pPr>
      <w:r>
        <w:t xml:space="preserve">Peran Konkret Universitas dan Fakultas Kedokteran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Menjamin bahwa lulusan baru memiliki kesiapan dan keterikatan terhadap penempatan di wilayah kekurangan, bukan hanya menjadi obyek kebijakan ikatan dinas.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Menyediakan kuota prioritas penerimaan PPDS bagi pendaftar yang berasal dari daerah kekurangan dokter spesialis (sesuai daftar Kemenkes), dengan asumsi keterikatan emosional dan kemungkinan kembali bertugas lebih tinggi.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Mengintegrasikan modul kompetensi pelayanan di fasilitas kesehatan terbatas sumber daya ke dalam kurikulum inti, bukan sebagai program tambahan opsional.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Menandatangani kesepakatan kerja sama dengan Kemenkes mengenai mekanisme pelacakan (tracer study) lulusan penerima beasiswa ikatan dinas, untuk memverifikasi pelaksanaan masa pengabdian.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Dekan Fakultas Kedokteran, Rektor Universitas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Kuota prioritas dan modul kurikulum diterapkan mulai tahun ajaran berikutnya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Persentase lulusan jalur kuota prioritas yang menjalani masa pengabdian penuh di daerah asal/prioritas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3 — Distribusi Dokter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2026-06-28T09:24:12.592Z</dcterms:created>
  <dcterms:modified xsi:type="dcterms:W3CDTF">2026-06-28T09:24:12.592Z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