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tcBorders>
              <w:top w:val="single" w:color="C9882C" w:sz="4"/>
              <w:left w:val="single" w:color="C9882C" w:sz="4"/>
              <w:bottom w:val="single" w:color="C9882C" w:sz="4"/>
              <w:right w:val="single" w:color="C9882C" w:sz="4"/>
            </w:tcBorders>
            <w:shd w:fill="FFF3E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8B5E2F"/>
                <w:sz w:val="21"/>
                <w:szCs w:val="21"/>
              </w:rPr>
              <w:t xml:space="preserve">STATUS DOKUMEN: RANCANGAN TEKNIS — BUKAN PRODUK HUKUM RESMI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i/>
                <w:iCs/>
                <w:sz w:val="18"/>
                <w:szCs w:val="18"/>
              </w:rPr>
              <w:t xml:space="preserve">Dokumen ini adalah bahan usulan teknis untuk mempercepat proses formal, bukan pengganti proses formal itu sendiri. Sebelum berkekuatan hukum, rancangan ini wajib melalui: (1) harmonisasi oleh Biro Hukum lembaga terkait, (2) pengecekan kesesuaian dengan peraturan yang lebih tinggi, (3) sesuai jenisnya, konsultasi publik dan/atau pembahasan lintas-kementerian, dan (4) pengundangan resmi. Ketentuan sanksi di dalamnya dibatasi pada kewenangan administratif yang sesuai dengan jenis dan jenjang lembaga penerbit; sanksi pidana hanya dapat diatur oleh undang-undang.</w:t>
            </w:r>
          </w:p>
        </w:tc>
      </w:tr>
    </w:tbl>
    <w:p>
      <w:pPr>
        <w:spacing w:after="40" w:before="200"/>
        <w:jc w:val="center"/>
      </w:pPr>
      <w:r>
        <w:rPr>
          <w:rFonts w:ascii="Arial" w:cs="Arial" w:eastAsia="Arial" w:hAnsi="Arial"/>
          <w:b/>
          <w:bCs/>
          <w:color w:val="8B5E2F"/>
          <w:sz w:val="20"/>
          <w:szCs w:val="20"/>
        </w:rPr>
        <w:t xml:space="preserve">DOKUMEN 3.3 — UNTUK: KEMENTERIAN DALAM NEGERI</w:t>
      </w:r>
    </w:p>
    <w:p>
      <w:pPr>
        <w:spacing w:after="6"/>
        <w:jc w:val="center"/>
      </w:pPr>
      <w:r>
        <w:rPr>
          <w:rFonts w:ascii="Arial" w:cs="Arial" w:eastAsia="Arial" w:hAnsi="Arial"/>
          <w:color w:val="4B5A60"/>
          <w:sz w:val="22"/>
          <w:szCs w:val="22"/>
        </w:rPr>
        <w:t xml:space="preserve">Bahan Usulan Teknis — bukan Regulasi, melainkan Rencana Aksi Koordinasi</w:t>
      </w:r>
    </w:p>
    <w:p>
      <w:pPr>
        <w:spacing w:after="200"/>
        <w:jc w:val="center"/>
      </w:pPr>
      <w:r>
        <w:rPr>
          <w:rFonts w:ascii="Cambria" w:cs="Cambria" w:eastAsia="Cambria" w:hAnsi="Cambria"/>
          <w:b/>
          <w:bCs/>
          <w:color w:val="1F3A4D"/>
          <w:sz w:val="30"/>
          <w:szCs w:val="30"/>
        </w:rPr>
        <w:t xml:space="preserve">Rencana Aksi Koordinasi: Pemantauan Kepatuhan Pemerintah Daerah atas Pemerataan Tenaga Medis</w:t>
      </w:r>
    </w:p>
    <w:p>
      <w:pPr>
        <w:pStyle w:val="Heading2"/>
        <w:spacing w:after="120" w:before="240"/>
      </w:pPr>
      <w:r>
        <w:t xml:space="preserve">Peran Konkret Kementerian Dalam Negeri</w:t>
      </w:r>
    </w:p>
    <w:p>
      <w:pPr>
        <w:spacing w:after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Tujuan: </w:t>
      </w:r>
      <w:r>
        <w:rPr>
          <w:rFonts w:ascii="Arial" w:cs="Arial" w:eastAsia="Arial" w:hAnsi="Arial"/>
          <w:sz w:val="22"/>
          <w:szCs w:val="22"/>
        </w:rPr>
        <w:t xml:space="preserve">Menjembatani pelaksanaan PP 28/2024 di tingkat sekitar 500 pemerintah daerah yang memiliki kapasitas fiskal dan kelembagaan yang sangat beragam.</w:t>
      </w:r>
    </w:p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Langkah konkret: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1. </w:t>
      </w:r>
      <w:r>
        <w:rPr>
          <w:rFonts w:ascii="Arial" w:cs="Arial" w:eastAsia="Arial" w:hAnsi="Arial"/>
          <w:sz w:val="22"/>
          <w:szCs w:val="22"/>
        </w:rPr>
        <w:t xml:space="preserve">Menerbitkan surat edaran kepada seluruh gubernur dan bupati/wali kota yang mengingatkan kewajiban pengusulan formasi tenaga medis sesuai data prioritas Kemenkes, disertai tenggat waktu pelaporan.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</w:rPr>
        <w:t xml:space="preserve">Membentuk mekanisme pelaporan triwulanan dari pemerintah daerah mengenai status pengisian formasi tenaga medis, terintegrasi dengan pelaporan kinerja kepala daerah yang sudah berjalan.</w:t>
      </w:r>
    </w:p>
    <w:p>
      <w:pPr>
        <w:spacing w:after="40"/>
        <w:ind w:left="400"/>
      </w:pPr>
      <w:r>
        <w:rPr>
          <w:rFonts w:ascii="Arial" w:cs="Arial" w:eastAsia="Arial" w:hAnsi="Arial"/>
          <w:sz w:val="22"/>
          <w:szCs w:val="22"/>
        </w:rPr>
        <w:t xml:space="preserve">3. </w:t>
      </w:r>
      <w:r>
        <w:rPr>
          <w:rFonts w:ascii="Arial" w:cs="Arial" w:eastAsia="Arial" w:hAnsi="Arial"/>
          <w:sz w:val="22"/>
          <w:szCs w:val="22"/>
        </w:rPr>
        <w:t xml:space="preserve">Mengidentifikasi pemerintah daerah dengan kapasitas fiskal rendah yang memerlukan dukungan tambahan melalui Dana Alokasi Khusus, dan menyampaikan rekomendasi kepada Kemenkeu dan Kemenkes.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Penanggung jawab: </w:t>
      </w:r>
      <w:r>
        <w:rPr>
          <w:rFonts w:ascii="Arial" w:cs="Arial" w:eastAsia="Arial" w:hAnsi="Arial"/>
          <w:sz w:val="22"/>
          <w:szCs w:val="22"/>
        </w:rPr>
        <w:t xml:space="preserve">Direktorat Jenderal Bina Pembangunan Daerah, Kementerian Dalam Negeri</w:t>
      </w:r>
    </w:p>
    <w:p>
      <w:pPr>
        <w:spacing w:after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Target waktu: </w:t>
      </w:r>
      <w:r>
        <w:rPr>
          <w:rFonts w:ascii="Arial" w:cs="Arial" w:eastAsia="Arial" w:hAnsi="Arial"/>
          <w:sz w:val="22"/>
          <w:szCs w:val="22"/>
        </w:rPr>
        <w:t xml:space="preserve">Surat edaran diterbitkan dalam 3 bulan; mekanisme pelaporan triwulanan berjalan dalam 6 bulan</w:t>
      </w:r>
    </w:p>
    <w:p>
      <w:pPr>
        <w:spacing w:after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Indikator: </w:t>
      </w:r>
      <w:r>
        <w:rPr>
          <w:rFonts w:ascii="Arial" w:cs="Arial" w:eastAsia="Arial" w:hAnsi="Arial"/>
          <w:sz w:val="22"/>
          <w:szCs w:val="22"/>
        </w:rPr>
        <w:t xml:space="preserve">Persentase pemerintah daerah yang menyampaikan laporan triwulanan tepat waktu</w:t>
      </w:r>
    </w:p>
    <w:sectPr>
      <w:headerReference w:type="default" r:id="rId7"/>
      <w:footerReference w:type="default" r:id="rId8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Halaman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dari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Klaster 3 — Distribusi Dokter · Edisi Juni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</w:pPr>
    <w:rPr>
      <w:rFonts w:ascii="Arial" w:cs="Arial" w:eastAsia="Arial" w:hAnsi="Arial"/>
      <w:b/>
      <w:bCs/>
      <w:color w:val="1F3A4D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100" w:before="160"/>
    </w:pPr>
    <w:rPr>
      <w:rFonts w:ascii="Arial" w:cs="Arial" w:eastAsia="Arial" w:hAnsi="Arial"/>
      <w:b/>
      <w:bCs/>
      <w:color w:val="8B5E2F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2026-06-28T14:37:25.443Z</dcterms:created>
  <dcterms:modified xsi:type="dcterms:W3CDTF">2026-06-28T14:37:25.443Z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