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3.3 — UNTUK: KEMENTERIAN DALAM NEGERI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bukan Regulasi, melainkan Rencana Aksi Koordinasi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Rencana Aksi Koordinasi: Pemantauan Kepatuhan Pemerintah Daerah atas Pemerataan Tenaga Medis</w:t>
      </w:r>
    </w:p>
    <w:p>
      <w:pPr>
        <w:pStyle w:val="Heading2"/>
        <w:spacing w:after="120" w:before="240"/>
      </w:pPr>
      <w:r>
        <w:t xml:space="preserve">Peran Konkret Kementerian Dalam Negeri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Tujuan: </w:t>
      </w:r>
      <w:r>
        <w:rPr>
          <w:rFonts w:ascii="Arial" w:cs="Arial" w:eastAsia="Arial" w:hAnsi="Arial"/>
          <w:sz w:val="22"/>
          <w:szCs w:val="22"/>
        </w:rPr>
        <w:t xml:space="preserve">Menjembatani pelaksanaan PP 28/2024 di tingkat sekitar 500 pemerintah daerah yang memiliki kapasitas fiskal dan kelembagaan yang sangat beragam.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Langkah konkret: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Menerbitkan surat edaran kepada seluruh gubernur dan bupati/wali kota yang mengingatkan kewajiban pengusulan formasi tenaga medis sesuai data prioritas Kemenkes, disertai tenggat waktu pelaporan.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Membentuk mekanisme pelaporan triwulanan dari pemerintah daerah mengenai status pengisian formasi tenaga medis, terintegrasi dengan pelaporan kinerja kepala daerah yang sudah berjalan.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Mengidentifikasi pemerintah daerah dengan kapasitas fiskal rendah yang memerlukan dukungan tambahan melalui Dana Alokasi Khusus, dan menyampaikan rekomendasi kepada Kemenkeu dan Kemenkes.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Penanggung jawab: </w:t>
      </w:r>
      <w:r>
        <w:rPr>
          <w:rFonts w:ascii="Arial" w:cs="Arial" w:eastAsia="Arial" w:hAnsi="Arial"/>
          <w:sz w:val="22"/>
          <w:szCs w:val="22"/>
        </w:rPr>
        <w:t xml:space="preserve">Direktorat Jenderal Bina Pembangunan Daerah, Kementerian Dalam Negeri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 waktu: </w:t>
      </w:r>
      <w:r>
        <w:rPr>
          <w:rFonts w:ascii="Arial" w:cs="Arial" w:eastAsia="Arial" w:hAnsi="Arial"/>
          <w:sz w:val="22"/>
          <w:szCs w:val="22"/>
        </w:rPr>
        <w:t xml:space="preserve">Surat edaran diterbitkan dalam 3 bulan; mekanisme pelaporan triwulanan berjalan dalam 6 bulan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Indikator: </w:t>
      </w:r>
      <w:r>
        <w:rPr>
          <w:rFonts w:ascii="Arial" w:cs="Arial" w:eastAsia="Arial" w:hAnsi="Arial"/>
          <w:sz w:val="22"/>
          <w:szCs w:val="22"/>
        </w:rPr>
        <w:t xml:space="preserve">Persentase pemerintah daerah yang menyampaikan laporan triwulanan tepat waktu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3 — Distribusi Dokter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2026-06-28T09:24:12.554Z</dcterms:created>
  <dcterms:modified xsi:type="dcterms:W3CDTF">2026-06-28T09:24:12.554Z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