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3.2 — UNTUK: KEMENTERIAN PANRB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bukan Regulasi, melainkan Rencana Aksi Koordinasi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Rencana Aksi Koordinasi: Formasi ASN Tenaga Medis Prioritas Daerah Kekurangan Dokter</w:t>
      </w:r>
    </w:p>
    <w:p>
      <w:pPr>
        <w:pStyle w:val="Heading2"/>
        <w:spacing w:after="120" w:before="240"/>
      </w:pPr>
      <w:r>
        <w:t xml:space="preserve">Peran Konkret Kementerian PANRB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Tujuan: </w:t>
      </w:r>
      <w:r>
        <w:rPr>
          <w:rFonts w:ascii="Arial" w:cs="Arial" w:eastAsia="Arial" w:hAnsi="Arial"/>
          <w:sz w:val="22"/>
          <w:szCs w:val="22"/>
        </w:rPr>
        <w:t xml:space="preserve">Memastikan kebijakan formasi Aparatur Sipil Negara nasional secara aktif mendukung, bukan sekadar tidak menghambat, penempatan dokter di wilayah kekurangan.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Langkah konkret: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Menetapkan kuota formasi ASN tenaga medis prioritas yang terpisah dari kuota formasi ASN umum tahunan, khusus untuk daftar fasilitas kesehatan kekurangan dokter yang ditetapkan Kemenkes (lihat Dokumen 3.1 Pasal 1).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Menyederhanakan proses seleksi ASN bagi formasi prioritas ini, termasuk mempercepat linieritas antara hasil seleksi dan penempatan riil di lapangan (mencegah dokter lulus seleksi namun ditempatkan di luar daerah prioritas).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Berpartisipasi dalam evaluasi tahunan bersama Kemenkes dan Kemendagri atas tingkat pengisian formasi prioritas.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Penanggung jawab: </w:t>
      </w:r>
      <w:r>
        <w:rPr>
          <w:rFonts w:ascii="Arial" w:cs="Arial" w:eastAsia="Arial" w:hAnsi="Arial"/>
          <w:sz w:val="22"/>
          <w:szCs w:val="22"/>
        </w:rPr>
        <w:t xml:space="preserve">Deputi Bidang SDM Aparatur, Kementerian PANRB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 waktu: </w:t>
      </w:r>
      <w:r>
        <w:rPr>
          <w:rFonts w:ascii="Arial" w:cs="Arial" w:eastAsia="Arial" w:hAnsi="Arial"/>
          <w:sz w:val="22"/>
          <w:szCs w:val="22"/>
        </w:rPr>
        <w:t xml:space="preserve">Kuota formasi prioritas ditetapkan pada siklus pengadaan ASN tahun berikutnya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Indikator: </w:t>
      </w:r>
      <w:r>
        <w:rPr>
          <w:rFonts w:ascii="Arial" w:cs="Arial" w:eastAsia="Arial" w:hAnsi="Arial"/>
          <w:sz w:val="22"/>
          <w:szCs w:val="22"/>
        </w:rPr>
        <w:t xml:space="preserve">Rasio realisasi penempatan terhadap kuota formasi prioritas yang ditetapkan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3 — Distribusi Dokter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2026-06-28T09:24:12.524Z</dcterms:created>
  <dcterms:modified xsi:type="dcterms:W3CDTF">2026-06-28T09:24:12.524Z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