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2.5 — UNTUK: KEMENTERIAN KESEHATAN (TIM KAJIAN)</w:t>
      </w:r>
    </w:p>
    <w:p>
      <w:pPr>
        <w:spacing w:after="6"/>
        <w:jc w:val="center"/>
      </w:pPr>
      <w:r>
        <w:rPr>
          <w:rFonts w:ascii="Arial" w:cs="Arial" w:eastAsia="Arial" w:hAnsi="Arial"/>
          <w:color w:val="4B5A60"/>
          <w:sz w:val="22"/>
          <w:szCs w:val="22"/>
        </w:rPr>
        <w:t xml:space="preserve">Bahan Usulan Teknis — Pelengkap Hasil Audit Kecukupan, Juni 2026</w:t>
      </w:r>
    </w:p>
    <w:p>
      <w:pPr>
        <w:spacing w:after="200"/>
        <w:jc w:val="center"/>
      </w:pPr>
      <w:r>
        <w:rPr>
          <w:rFonts w:ascii="Cambria" w:cs="Cambria" w:eastAsia="Cambria" w:hAnsi="Cambria"/>
          <w:b/>
          <w:bCs/>
          <w:color w:val="1F3A4D"/>
          <w:sz w:val="30"/>
          <w:szCs w:val="30"/>
        </w:rPr>
        <w:t xml:space="preserve">Kerangka Acuan Kerja (TOR): Kajian Kebijakan Pembatasan Jumlah Surat Izin Praktik</w:t>
      </w:r>
    </w:p>
    <w:p>
      <w:pPr>
        <w:pStyle w:val="Heading2"/>
        <w:spacing w:after="120" w:before="240"/>
      </w:pPr>
      <w:r>
        <w:t xml:space="preserve">Ruang Lingkup Kajian</w:t>
      </w:r>
    </w:p>
    <w:p>
      <w:pPr>
        <w:spacing w:after="60"/>
      </w:pPr>
      <w:r>
        <w:rPr>
          <w:rFonts w:ascii="Arial" w:cs="Arial" w:eastAsia="Arial" w:hAnsi="Arial"/>
          <w:b/>
          <w:bCs/>
          <w:sz w:val="22"/>
          <w:szCs w:val="22"/>
        </w:rPr>
        <w:t xml:space="preserve">Tujuan: </w:t>
      </w:r>
      <w:r>
        <w:rPr>
          <w:rFonts w:ascii="Arial" w:cs="Arial" w:eastAsia="Arial" w:hAnsi="Arial"/>
          <w:sz w:val="22"/>
          <w:szCs w:val="22"/>
        </w:rPr>
        <w:t xml:space="preserve">Memberikan dasar bukti (evidence base) yang memadai sebelum kebijakan pembatasan SIP (Dokumen 2.1 Pasal 3) ditetapkan, mengingat ini adalah klaster dengan kelayakan politik terendah dalam keseluruhan dokumen (lihat Laporan Audit Kelayakan Bagian 3).</w:t>
      </w:r>
    </w:p>
    <w:p>
      <w:pPr>
        <w:spacing w:after="40"/>
      </w:pPr>
      <w:r>
        <w:rPr>
          <w:rFonts w:ascii="Arial" w:cs="Arial" w:eastAsia="Arial" w:hAnsi="Arial"/>
          <w:b/>
          <w:bCs/>
          <w:sz w:val="22"/>
          <w:szCs w:val="22"/>
        </w:rPr>
        <w:t xml:space="preserve">Langkah konkret:</w:t>
      </w:r>
    </w:p>
    <w:p>
      <w:pPr>
        <w:spacing w:after="40"/>
        <w:ind w:left="400"/>
      </w:pPr>
      <w:r>
        <w:rPr>
          <w:rFonts w:ascii="Arial" w:cs="Arial" w:eastAsia="Arial" w:hAnsi="Arial"/>
          <w:sz w:val="22"/>
          <w:szCs w:val="22"/>
        </w:rPr>
        <w:t xml:space="preserve">1. </w:t>
      </w:r>
      <w:r>
        <w:rPr>
          <w:rFonts w:ascii="Arial" w:cs="Arial" w:eastAsia="Arial" w:hAnsi="Arial"/>
          <w:sz w:val="22"/>
          <w:szCs w:val="22"/>
        </w:rPr>
        <w:t xml:space="preserve">Memetakan distribusi kepemilikan SIP ganda/rangkap secara nasional per spesialisasi dan per wilayah, untuk mengidentifikasi spesialisasi dan wilayah dengan konsentrasi tertinggi.</w:t>
      </w:r>
    </w:p>
    <w:p>
      <w:pPr>
        <w:spacing w:after="40"/>
        <w:ind w:left="400"/>
      </w:pPr>
      <w:r>
        <w:rPr>
          <w:rFonts w:ascii="Arial" w:cs="Arial" w:eastAsia="Arial" w:hAnsi="Arial"/>
          <w:sz w:val="22"/>
          <w:szCs w:val="22"/>
        </w:rPr>
        <w:t xml:space="preserve">2. </w:t>
      </w:r>
      <w:r>
        <w:rPr>
          <w:rFonts w:ascii="Arial" w:cs="Arial" w:eastAsia="Arial" w:hAnsi="Arial"/>
          <w:sz w:val="22"/>
          <w:szCs w:val="22"/>
        </w:rPr>
        <w:t xml:space="preserve">Menganalisis dampak kuantitatif terhadap akses masyarakat apabila jumlah SIP dibatasi pada angka tertentu (simulasi 2 SIP, 3 SIP per dokter), termasuk estimasi jumlah slot praktik yang akan terbuka bagi dokter baru.</w:t>
      </w:r>
    </w:p>
    <w:p>
      <w:pPr>
        <w:spacing w:after="40"/>
        <w:ind w:left="400"/>
      </w:pPr>
      <w:r>
        <w:rPr>
          <w:rFonts w:ascii="Arial" w:cs="Arial" w:eastAsia="Arial" w:hAnsi="Arial"/>
          <w:sz w:val="22"/>
          <w:szCs w:val="22"/>
        </w:rPr>
        <w:t xml:space="preserve">3. </w:t>
      </w:r>
      <w:r>
        <w:rPr>
          <w:rFonts w:ascii="Arial" w:cs="Arial" w:eastAsia="Arial" w:hAnsi="Arial"/>
          <w:sz w:val="22"/>
          <w:szCs w:val="22"/>
        </w:rPr>
        <w:t xml:space="preserve">Melakukan konsultasi tertulis dengan IDI dan Kolegium terkait sebagai bagian formal kajian (sebagaimana diatur dalam Dokumen 2.4), bukan sekadar pemberitahuan kebijakan yang sudah final.</w:t>
      </w:r>
    </w:p>
    <w:p>
      <w:pPr>
        <w:spacing w:after="40"/>
        <w:ind w:left="400"/>
      </w:pPr>
      <w:r>
        <w:rPr>
          <w:rFonts w:ascii="Arial" w:cs="Arial" w:eastAsia="Arial" w:hAnsi="Arial"/>
          <w:sz w:val="22"/>
          <w:szCs w:val="22"/>
        </w:rPr>
        <w:t xml:space="preserve">4. </w:t>
      </w:r>
      <w:r>
        <w:rPr>
          <w:rFonts w:ascii="Arial" w:cs="Arial" w:eastAsia="Arial" w:hAnsi="Arial"/>
          <w:sz w:val="22"/>
          <w:szCs w:val="22"/>
        </w:rPr>
        <w:t xml:space="preserve">Mengkaji opsi mitigasi transisi (misalnya: pembatasan hanya berlaku untuk penerbitan SIP baru, tidak menarik SIP yang sudah ada) untuk mengurangi resistensi politik tanpa menghilangkan tujuan kebijakan.</w:t>
      </w:r>
    </w:p>
    <w:p>
      <w:pPr>
        <w:spacing w:after="40"/>
        <w:ind w:left="400"/>
      </w:pPr>
      <w:r>
        <w:rPr>
          <w:rFonts w:ascii="Arial" w:cs="Arial" w:eastAsia="Arial" w:hAnsi="Arial"/>
          <w:sz w:val="22"/>
          <w:szCs w:val="22"/>
        </w:rPr>
        <w:t xml:space="preserve">5. </w:t>
      </w:r>
      <w:r>
        <w:rPr>
          <w:rFonts w:ascii="Arial" w:cs="Arial" w:eastAsia="Arial" w:hAnsi="Arial"/>
          <w:sz w:val="22"/>
          <w:szCs w:val="22"/>
        </w:rPr>
        <w:t xml:space="preserve">Menyusun rekomendasi akhir dengan sekurang-kurangnya dua opsi kebijakan (bukan satu opsi tunggal), masing-masing dengan analisis dampak dan tingkat resistensi yang diperkirakan.</w:t>
      </w:r>
    </w:p>
    <w:p>
      <w:pPr>
        <w:spacing w:after="40" w:before="80"/>
      </w:pPr>
      <w:r>
        <w:rPr>
          <w:rFonts w:ascii="Arial" w:cs="Arial" w:eastAsia="Arial" w:hAnsi="Arial"/>
          <w:b/>
          <w:bCs/>
          <w:sz w:val="22"/>
          <w:szCs w:val="22"/>
        </w:rPr>
        <w:t xml:space="preserve">Penanggung jawab: </w:t>
      </w:r>
      <w:r>
        <w:rPr>
          <w:rFonts w:ascii="Arial" w:cs="Arial" w:eastAsia="Arial" w:hAnsi="Arial"/>
          <w:sz w:val="22"/>
          <w:szCs w:val="22"/>
        </w:rPr>
        <w:t xml:space="preserve">Tim Kajian gabungan Kementerian Kesehatan (koordinator), dengan keterlibatan tertulis IDI dan Kolegium</w:t>
      </w:r>
    </w:p>
    <w:p>
      <w:pPr>
        <w:spacing w:after="40"/>
      </w:pPr>
      <w:r>
        <w:rPr>
          <w:rFonts w:ascii="Arial" w:cs="Arial" w:eastAsia="Arial" w:hAnsi="Arial"/>
          <w:b/>
          <w:bCs/>
          <w:sz w:val="22"/>
          <w:szCs w:val="22"/>
        </w:rPr>
        <w:t xml:space="preserve">Target waktu: </w:t>
      </w:r>
      <w:r>
        <w:rPr>
          <w:rFonts w:ascii="Arial" w:cs="Arial" w:eastAsia="Arial" w:hAnsi="Arial"/>
          <w:sz w:val="22"/>
          <w:szCs w:val="22"/>
        </w:rPr>
        <w:t xml:space="preserve">Kajian dimulai paralel dengan penyusunan Dokumen 2.1, selesai paling lambat 12 bulan (sesuai Pasal 3 ayat 2 Dokumen 2.1)</w:t>
      </w:r>
    </w:p>
    <w:p>
      <w:pPr>
        <w:spacing w:after="200"/>
      </w:pPr>
      <w:r>
        <w:rPr>
          <w:rFonts w:ascii="Arial" w:cs="Arial" w:eastAsia="Arial" w:hAnsi="Arial"/>
          <w:b/>
          <w:bCs/>
          <w:sz w:val="22"/>
          <w:szCs w:val="22"/>
        </w:rPr>
        <w:t xml:space="preserve">Indikator: </w:t>
      </w:r>
      <w:r>
        <w:rPr>
          <w:rFonts w:ascii="Arial" w:cs="Arial" w:eastAsia="Arial" w:hAnsi="Arial"/>
          <w:sz w:val="22"/>
          <w:szCs w:val="22"/>
        </w:rPr>
        <w:t xml:space="preserve">Tersedianya naskah kajian dengan sekurang-kurangnya dua opsi kebijakan dan dokumentasi konsultasi tertulis IDI/Kolegium</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2 — Kesenjangan Pendapatan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2026-06-27T15:17:07.018Z</dcterms:created>
  <dcterms:modified xsi:type="dcterms:W3CDTF">2026-06-27T15:17:07.018Z</dcterms:modified>
</cp:coreProperties>
</file>

<file path=docProps/custom.xml><?xml version="1.0" encoding="utf-8"?>
<Properties xmlns="http://schemas.openxmlformats.org/officeDocument/2006/custom-properties" xmlns:vt="http://schemas.openxmlformats.org/officeDocument/2006/docPropsVTypes"/>
</file>