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2.4 — UNTUK: IKATAN DOKTER INDONESIA &amp; KOLEGIUM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Pedoman Kerja Sama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Pedoman Dukungan dan Kepatuhan Organisasi Profesi atas Kebijakan Insentif dan Pengaturan SIP</w:t>
      </w:r>
    </w:p>
    <w:p>
      <w:pPr>
        <w:pStyle w:val="Heading2"/>
        <w:spacing w:after="120" w:before="240"/>
      </w:pPr>
      <w:r>
        <w:t xml:space="preserve">Peran Konkret IDI dan Kolegium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Memastikan organisasi profesi berperan sebagai mitra pelaksana, bukan sekadar pihak yang terdampak, mengingat IDI tidak lagi memiliki kewenangan rekomendasi wajib atas penerbitan SIP pasca-UU 17/2023.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IDI menyusun dan mempublikasikan basis data sukarela anggota yang bersedia ditempatkan di wilayah DTPK dengan skema insentif baru, sebagai kanal yang melengkapi data formasi resmi pemerintah.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Kolegium menyelaraskan syarat kompetensi dokter umum dan dokter gigi penerima insentif DTPK dengan standar pendidikan berkelanjutan (P2KB/CPD) yang berlaku, agar perluasan insentif tidak menurunkan standar mutu layanan.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IDI dilibatkan sebagai narasumber dalam kajian pembatasan SIP (Pasal 3 Dokumen 2.1), dengan masukan disampaikan secara tertulis dan didokumentasikan dalam naskah kajian resmi Kemenkes — sebagai bentuk konsultasi substantif yang tetap menghormati kewenangan akhir pemerintah pasca-UU 17/2023.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</w:rPr>
        <w:t xml:space="preserve">IDI dan Kolegium menyampaikan posisi resmi tertulis (mendukung, mendukung dengan syarat, atau menolak) atas rancangan kajian pembatasan SIP sebelum kajian tersebut difinalisasi, sebagai dokumentasi konsultasi publik yang transparan.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Pengurus Besar IDI, Ketua Kolegium terkait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Basis data sukarela tersedia dalam 6 bulan; posisi resmi tertulis disampaikan dalam siklus kajian SIP (mengacu Pasal 3 ayat 2 Dokumen 2.1, 12 bulan)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Jumlah dokter terdaftar dalam basis data sukarela; tersedianya dokumen posisi resmi tertulis sebagai bagian dari naskah kajian SIP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2 — Kesenjangan Pendapatan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2026-06-28T14:37:25.184Z</dcterms:created>
  <dcterms:modified xsi:type="dcterms:W3CDTF">2026-06-28T14:37:25.184Z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