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2.3 — UNTUK: KEMENTERIAN PANRB &amp; KEMENTERIAN DALAM NEGERI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Rancangan Surat Keputusan Bersama Menteri Kesehatan, Menteri PANRB, dan Menteri Dalam Negeri tentang Penempatan dan Formasi ASN Tenaga Medis di Wilayah Kekurangan Dokter</w:t>
      </w:r>
    </w:p>
    <w:p>
      <w:pPr>
        <w:pStyle w:val="Heading2"/>
        <w:spacing w:after="120" w:before="240"/>
      </w:pPr>
      <w:r>
        <w:t xml:space="preserve">Menimbang</w:t>
      </w:r>
    </w:p>
    <w:p>
      <w:pPr>
        <w:spacing w:after="80"/>
        <w:ind w:left="4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a.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bahwa kewenangan penempatan dan formasi Aparatur Sipil Negara tenaga medis tidak berada sepenuhnya pada Kementerian Kesehatan, melainkan juga pada Kementerian PANRB (formasi) dan Kementerian Dalam Negeri (koordinasi pemerintah daerah);</w:t>
      </w:r>
    </w:p>
    <w:p>
      <w:pPr>
        <w:spacing w:after="80"/>
        <w:ind w:left="4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b.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bahwa diperlukan instrumen koordinatif tunggal agar ketiga kementerian bergerak berdasarkan data dan jadwal yang sama, mengingat Surat Keputusan Bersama merupakan instrumen yang umum digunakan untuk koordinasi lintas-kementerian di Indonesia.</w:t>
      </w:r>
    </w:p>
    <w:p>
      <w:pPr>
        <w:pStyle w:val="Heading2"/>
        <w:spacing w:after="120" w:before="240"/>
      </w:pPr>
      <w:r>
        <w:t xml:space="preserve">Mengingat</w:t>
      </w:r>
    </w:p>
    <w:p>
      <w:pPr>
        <w:spacing w:after="6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Undang-Undang Nomor 17 Tahun 2023 tentang Kesehatan, Pasal 231 mengenai pengangkatan tenaga medis sebagai Aparatur Sipil Negara dan penugasan khusus;</w:t>
      </w:r>
    </w:p>
    <w:p>
      <w:pPr>
        <w:spacing w:after="6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Peraturan Pemerintah Nomor 28 Tahun 2024.</w:t>
      </w:r>
    </w:p>
    <w:p>
      <w:pPr>
        <w:spacing w:after="100" w:before="20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MEMUTUSKAN: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Menetapkan: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SURAT KEPUTUSAN BERSAMA TENTANG PENEMPATAN DAN FORMASI ASN TENAGA MEDIS DI WILAYAH KEKURANGAN DOKTER.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1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/>
      </w:r>
      <w:r>
        <w:rPr>
          <w:rFonts w:ascii="Arial" w:cs="Arial" w:eastAsia="Arial" w:hAnsi="Arial"/>
          <w:sz w:val="22"/>
          <w:szCs w:val="22"/>
        </w:rPr>
        <w:t xml:space="preserve">Kementerian Kesehatan menetapkan dan memperbarui setiap semester daftar fasilitas pelayanan kesehatan primer yang belum memiliki dokter, sebagai dasar prioritas formasi.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2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/>
      </w:r>
      <w:r>
        <w:rPr>
          <w:rFonts w:ascii="Arial" w:cs="Arial" w:eastAsia="Arial" w:hAnsi="Arial"/>
          <w:sz w:val="22"/>
          <w:szCs w:val="22"/>
        </w:rPr>
        <w:t xml:space="preserve">Kementerian PANRB memberikan prioritas formasi Aparatur Sipil Negara bagi tenaga medis pada daftar sebagaimana dimaksud dalam Pasal 1, di luar mekanisme seleksi formasi umum tahunan.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3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/>
      </w:r>
      <w:r>
        <w:rPr>
          <w:rFonts w:ascii="Arial" w:cs="Arial" w:eastAsia="Arial" w:hAnsi="Arial"/>
          <w:sz w:val="22"/>
          <w:szCs w:val="22"/>
        </w:rPr>
        <w:t xml:space="preserve">Kementerian Dalam Negeri mengoordinasikan kepatuhan pemerintah daerah dalam pengusulan formasi sesuai daftar prioritas, dan menyampaikan laporan kepatuhan kepada kedua kementerian lain setiap semester.</w:t>
      </w:r>
    </w:p>
    <w:p>
      <w:pPr>
        <w:pStyle w:val="Heading2"/>
        <w:spacing w:after="120" w:before="240"/>
      </w:pPr>
      <w:r>
        <w:t xml:space="preserve">Ketentuan Penutup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Surat Keputusan Bersama ini mulai berlaku sejak ditandatangani oleh ketiga Menteri, dan ditinjau ulang setiap 2 (dua) tahun.</w:t>
      </w:r>
    </w:p>
    <w:p>
      <w:pPr>
        <w:spacing w:before="300"/>
      </w:pPr>
      <w:r>
        <w:rPr>
          <w:rFonts w:ascii="Arial" w:cs="Arial" w:eastAsia="Arial" w:hAnsi="Arial"/>
          <w:i/>
          <w:iCs/>
          <w:color w:val="999999"/>
          <w:sz w:val="18"/>
          <w:szCs w:val="18"/>
        </w:rPr>
        <w:t xml:space="preserve">[ PLACEHOLDER — diisi saat penetapan resmi, bukan bagian dari naskah usulan ]</w:t>
      </w:r>
    </w:p>
    <w:p>
      <w:pPr>
        <w:spacing w:after="200" w:before="200"/>
      </w:pPr>
      <w:r>
        <w:rPr>
          <w:rFonts w:ascii="Arial" w:cs="Arial" w:eastAsia="Arial" w:hAnsi="Arial"/>
          <w:sz w:val="22"/>
          <w:szCs w:val="22"/>
        </w:rPr>
        <w:t xml:space="preserve">Ditetapkan di Jakarta, pada tanggal ......................</w:t>
      </w:r>
    </w:p>
    <w:p>
      <w:pPr>
        <w:spacing w:before="2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MENTERI KESEHATAN REPUBLIK INDONESIA,</w:t>
      </w:r>
    </w:p>
    <w:p>
      <w:pPr>
        <w:spacing w:after="80" w:before="500"/>
      </w:pPr>
      <w:r>
        <w:rPr>
          <w:rFonts w:ascii="Arial" w:cs="Arial" w:eastAsia="Arial" w:hAnsi="Arial"/>
          <w:sz w:val="22"/>
          <w:szCs w:val="22"/>
        </w:rPr>
        <w:t xml:space="preserve">( ...................................... )</w:t>
      </w:r>
    </w:p>
    <w:p>
      <w:pPr>
        <w:spacing w:before="2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MENTERI PENDAYAGUNAAN APARATUR NEGARA DAN REFORMASI BIROKRASI,</w:t>
      </w:r>
    </w:p>
    <w:p>
      <w:pPr>
        <w:spacing w:after="80" w:before="500"/>
      </w:pPr>
      <w:r>
        <w:rPr>
          <w:rFonts w:ascii="Arial" w:cs="Arial" w:eastAsia="Arial" w:hAnsi="Arial"/>
          <w:sz w:val="22"/>
          <w:szCs w:val="22"/>
        </w:rPr>
        <w:t xml:space="preserve">( ...................................... )</w:t>
      </w:r>
    </w:p>
    <w:p>
      <w:pPr>
        <w:spacing w:before="2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MENTERI DALAM NEGERI REPUBLIK INDONESIA,</w:t>
      </w:r>
    </w:p>
    <w:p>
      <w:pPr>
        <w:spacing w:after="80" w:before="500"/>
      </w:pPr>
      <w:r>
        <w:rPr>
          <w:rFonts w:ascii="Arial" w:cs="Arial" w:eastAsia="Arial" w:hAnsi="Arial"/>
          <w:sz w:val="22"/>
          <w:szCs w:val="22"/>
        </w:rPr>
        <w:t xml:space="preserve">( ...................................... )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2 — Kesenjangan Pendapatan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2026-06-28T14:37:25.160Z</dcterms:created>
  <dcterms:modified xsi:type="dcterms:W3CDTF">2026-06-28T14:37:25.160Z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