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tcBorders>
              <w:top w:val="single" w:color="C9882C" w:sz="4"/>
              <w:left w:val="single" w:color="C9882C" w:sz="4"/>
              <w:bottom w:val="single" w:color="C9882C" w:sz="4"/>
              <w:right w:val="single" w:color="C9882C" w:sz="4"/>
            </w:tcBorders>
            <w:shd w:fill="FFF3E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8B5E2F"/>
                <w:sz w:val="21"/>
                <w:szCs w:val="21"/>
              </w:rPr>
              <w:t xml:space="preserve">STATUS DOKUMEN: RANCANGAN TEKNIS — BUKAN PRODUK HUKUM RESMI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Dokumen ini adalah bahan usulan teknis untuk mempercepat proses formal, bukan pengganti proses formal itu sendiri. Sebelum berkekuatan hukum, rancangan ini wajib melalui: (1) harmonisasi oleh Biro Hukum lembaga terkait, (2) pengecekan kesesuaian dengan peraturan yang lebih tinggi, (3) sesuai jenisnya, konsultasi publik dan/atau pembahasan lintas-kementerian, dan (4) pengundangan resmi. Ketentuan sanksi di dalamnya dibatasi pada kewenangan administratif yang sesuai dengan jenis dan jenjang lembaga penerbit; sanksi pidana hanya dapat diatur oleh undang-undang.</w:t>
            </w:r>
          </w:p>
        </w:tc>
      </w:tr>
    </w:tbl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8B5E2F"/>
          <w:sz w:val="20"/>
          <w:szCs w:val="20"/>
        </w:rPr>
        <w:t xml:space="preserve">DOKUMEN 2.2 — UNTUK: KEMENTERIAN KEUANGAN</w:t>
      </w:r>
    </w:p>
    <w:p>
      <w:pPr>
        <w:spacing w:after="6"/>
        <w:jc w:val="center"/>
      </w:pPr>
      <w:r>
        <w:rPr>
          <w:rFonts w:ascii="Arial" w:cs="Arial" w:eastAsia="Arial" w:hAnsi="Arial"/>
          <w:color w:val="4B5A60"/>
          <w:sz w:val="22"/>
          <w:szCs w:val="22"/>
        </w:rPr>
        <w:t xml:space="preserve">Bahan Usulan Teknis — bukan Regulasi, melainkan Dokumen Perencanaan Anggaran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color w:val="1F3A4D"/>
          <w:sz w:val="30"/>
          <w:szCs w:val="30"/>
        </w:rPr>
        <w:t xml:space="preserve">Nota Usulan Anggaran: Perluasan Skema Insentif Tenaga Medis di Wilayah DTPK</w:t>
      </w:r>
    </w:p>
    <w:p>
      <w:pPr>
        <w:pStyle w:val="Heading2"/>
        <w:spacing w:after="120" w:before="240"/>
      </w:pPr>
      <w:r>
        <w:t xml:space="preserve">Ringkasan Usulan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Tujuan: </w:t>
      </w:r>
      <w:r>
        <w:rPr>
          <w:rFonts w:ascii="Arial" w:cs="Arial" w:eastAsia="Arial" w:hAnsi="Arial"/>
          <w:sz w:val="22"/>
          <w:szCs w:val="22"/>
        </w:rPr>
        <w:t xml:space="preserve">Memastikan perluasan skema insentif (Pasal 1 Dokumen 2.1) memperoleh alokasi anggaran yang memadai dalam siklus APBN, tanpa mengganggu pos prioritas yang telah berjalan.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Langkah konkret: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</w:rPr>
        <w:t xml:space="preserve">Kemenkes menghitung kebutuhan tambahan anggaran berdasarkan jumlah dokter umum dan dokter gigi di wilayah DTPK yang akan menerima insentif baru, dikalikan besaran insentif menurut Indeks Kebutuhan Wilayah.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</w:rPr>
        <w:t xml:space="preserve">Sebagai rujukan skala: skema insentif spesialis yang berjalan (Rp30 juta/bulan untuk 1.370 dokter) bernilai sekitar Rp493 miliar/tahun, atau sekitar 0,4% dari pagu anggaran Kemenkes 2026 sebesar Rp114 triliun — perluasan dalam skala serupa relatif kecil terhadap total anggaran.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</w:rPr>
        <w:t xml:space="preserve">Usulan dimasukkan dalam pembahasan Rencana Kerja dan Anggaran Kementerian/Lembaga (RKA-K/L) pada siklus APBN tahun berikutnya, dengan opsi pendanaan awal melalui realokasi dari pos Dana Alokasi Umum bidang kesehatan (Rp41,7 triliun pada APBN 2026) sebelum diusulkan sebagai pos baru.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4. </w:t>
      </w:r>
      <w:r>
        <w:rPr>
          <w:rFonts w:ascii="Arial" w:cs="Arial" w:eastAsia="Arial" w:hAnsi="Arial"/>
          <w:sz w:val="22"/>
          <w:szCs w:val="22"/>
        </w:rPr>
        <w:t xml:space="preserve">Kemenkeu memberikan tanggapan kelayakan fiskal dalam siklus pembahasan RKA-K/L reguler.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Penanggung jawab: </w:t>
      </w:r>
      <w:r>
        <w:rPr>
          <w:rFonts w:ascii="Arial" w:cs="Arial" w:eastAsia="Arial" w:hAnsi="Arial"/>
          <w:sz w:val="22"/>
          <w:szCs w:val="22"/>
        </w:rPr>
        <w:t xml:space="preserve">Biro Perencanaan dan Anggaran Kemenkes (pengusul), Direktorat Jenderal Anggaran Kemenkeu (penilai kelayakan fiskal)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Target waktu: </w:t>
      </w:r>
      <w:r>
        <w:rPr>
          <w:rFonts w:ascii="Arial" w:cs="Arial" w:eastAsia="Arial" w:hAnsi="Arial"/>
          <w:sz w:val="22"/>
          <w:szCs w:val="22"/>
        </w:rPr>
        <w:t xml:space="preserve">Diajukan pada siklus penyusunan RAPBN tahun anggaran berikutnya</w:t>
      </w:r>
    </w:p>
    <w:p>
      <w:pPr>
        <w:spacing w:after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Indikator: </w:t>
      </w:r>
      <w:r>
        <w:rPr>
          <w:rFonts w:ascii="Arial" w:cs="Arial" w:eastAsia="Arial" w:hAnsi="Arial"/>
          <w:sz w:val="22"/>
          <w:szCs w:val="22"/>
        </w:rPr>
        <w:t xml:space="preserve">Persetujuan pagu anggaran untuk perluasan skema insentif dalam dokumen RKA-K/L yang disahkan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Halaman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dari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Klaster 2 — Kesenjangan Pendapatan · Edisi Juni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</w:pPr>
    <w:rPr>
      <w:rFonts w:ascii="Arial" w:cs="Arial" w:eastAsia="Arial" w:hAnsi="Arial"/>
      <w:b/>
      <w:bCs/>
      <w:color w:val="1F3A4D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160"/>
    </w:pPr>
    <w:rPr>
      <w:rFonts w:ascii="Arial" w:cs="Arial" w:eastAsia="Arial" w:hAnsi="Arial"/>
      <w:b/>
      <w:bCs/>
      <w:color w:val="8B5E2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2026-06-28T14:37:25.129Z</dcterms:created>
  <dcterms:modified xsi:type="dcterms:W3CDTF">2026-06-28T14:37:25.129Z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