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2.1 — UNTUK: KEMENTERIAN KESEHATAN</w:t>
      </w:r>
    </w:p>
    <w:p>
      <w:pPr>
        <w:spacing w:after="6"/>
        <w:jc w:val="center"/>
      </w:pPr>
      <w:r>
        <w:rPr>
          <w:rFonts w:ascii="Arial" w:cs="Arial" w:eastAsia="Arial" w:hAnsi="Arial"/>
          <w:color w:val="4B5A60"/>
          <w:sz w:val="22"/>
          <w:szCs w:val="22"/>
        </w:rPr>
        <w:t xml:space="preserve">Bahan Usulan Teknis</w:t>
      </w:r>
    </w:p>
    <w:p>
      <w:pPr>
        <w:spacing w:after="200"/>
        <w:jc w:val="center"/>
      </w:pPr>
      <w:r>
        <w:rPr>
          <w:rFonts w:ascii="Cambria" w:cs="Cambria" w:eastAsia="Cambria" w:hAnsi="Cambria"/>
          <w:b/>
          <w:bCs/>
          <w:color w:val="1F3A4D"/>
          <w:sz w:val="30"/>
          <w:szCs w:val="30"/>
        </w:rPr>
        <w:t xml:space="preserve">Rancangan Peraturan Menteri Kesehatan tentang Insentif Berbasis Indeks Kebutuhan Wilayah dan Pengaturan Surat Izin Praktik</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skema insentif yang berjalan saat ini (Rp30.000.000,00 per bulan untuk 1.370 dokter spesialis) telah menunjukkan hasil, namun belum menjangkau dokter umum dan dokter gigi di wilayah Daerah Tertinggal, Perbatasan, dan Kepulauan (DTPK);</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pendapatan dokter yang mengikuti volume pasien dan jumlah Surat Izin Praktik (SIP) yang dipegang, tanpa mempertimbangkan kebutuhan riil wilayah, memperlebar kesenjangan yang dapat mencapai ratusan hingga ribuan kali lipat antar-dokter;</w:t>
      </w:r>
    </w:p>
    <w:p>
      <w:pPr>
        <w:spacing w:after="80"/>
        <w:ind w:left="400"/>
      </w:pPr>
      <w:r>
        <w:rPr>
          <w:rFonts w:ascii="Arial" w:cs="Arial" w:eastAsia="Arial" w:hAnsi="Arial"/>
          <w:b/>
          <w:bCs/>
          <w:sz w:val="22"/>
          <w:szCs w:val="22"/>
        </w:rPr>
        <w:t xml:space="preserve">c. </w:t>
      </w:r>
      <w:r>
        <w:rPr>
          <w:rFonts w:ascii="Arial" w:cs="Arial" w:eastAsia="Arial" w:hAnsi="Arial"/>
          <w:i/>
          <w:iCs/>
          <w:sz w:val="22"/>
          <w:szCs w:val="22"/>
        </w:rPr>
        <w:t xml:space="preserve">bahwa berdasarkan Pasal 263 ayat (3) dan (4) Undang-Undang Nomor 17 Tahun 2023, kewenangan penerbitan SIP berada pada Pemerintah Daerah dan, pada kondisi tertentu, pada Menteri Kesehatan, sehingga pengaturan lebih lanjut dapat dilakukan tanpa memerlukan persetujuan organisasi profesi.</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17 Tahun 2023 tentang Kesehatan, khususnya Pasal 227 sampai dengan Pasal 257 dan Pasal 263;</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Pemerintah Nomor 28 Tahun 2024 tentang Peraturan Pelaksanaan Undang-Undang Nomor 17 Tahun 2023 tentang Kesehatan.</w:t>
      </w:r>
    </w:p>
    <w:p>
      <w:pPr>
        <w:spacing w:after="100" w:before="200"/>
        <w:jc w:val="center"/>
      </w:pPr>
      <w:r>
        <w:rPr>
          <w:rFonts w:ascii="Arial" w:cs="Arial" w:eastAsia="Arial" w:hAnsi="Arial"/>
          <w:b/>
          <w:bCs/>
          <w:sz w:val="22"/>
          <w:szCs w:val="22"/>
        </w:rPr>
        <w:t xml:space="preserve">MEMUTUSKAN:</w:t>
      </w:r>
    </w:p>
    <w:p>
      <w:pPr>
        <w:spacing w:after="200"/>
      </w:pPr>
      <w:r>
        <w:rPr>
          <w:rFonts w:ascii="Arial" w:cs="Arial" w:eastAsia="Arial" w:hAnsi="Arial"/>
          <w:b/>
          <w:bCs/>
          <w:sz w:val="22"/>
          <w:szCs w:val="22"/>
        </w:rPr>
        <w:t xml:space="preserve">Menetapkan: </w:t>
      </w:r>
      <w:r>
        <w:rPr>
          <w:rFonts w:ascii="Arial" w:cs="Arial" w:eastAsia="Arial" w:hAnsi="Arial"/>
          <w:b/>
          <w:bCs/>
          <w:sz w:val="22"/>
          <w:szCs w:val="22"/>
        </w:rPr>
        <w:t xml:space="preserve">PERATURAN MENTERI KESEHATAN TENTANG INSENTIF BERBASIS INDEKS KEBUTUHAN WILAYAH DAN PENGATURAN SURAT IZIN PRAKTIK.</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Perluasan Skema Insentif</w:t>
      </w:r>
    </w:p>
    <w:p>
      <w:pPr>
        <w:spacing w:after="60" w:before="140"/>
      </w:pPr>
      <w:r>
        <w:rPr>
          <w:rFonts w:ascii="Arial" w:cs="Arial" w:eastAsia="Arial" w:hAnsi="Arial"/>
          <w:b/>
          <w:bCs/>
          <w:sz w:val="22"/>
          <w:szCs w:val="22"/>
        </w:rPr>
        <w:t xml:space="preserve">Pasal 1</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Skema insentif bulanan yang berlaku bagi dokter spesialis di wilayah Daerah Tertinggal, Perbatasan, dan Kepulauan diperluas untuk mencakup dokter umum dan dokter gigi yang bertugas di wilayah yang sama.</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Besaran insentif sebagaimana dimaksud pada ayat (1) ditetapkan berdasarkan Indeks Kebutuhan Wilayah yang disusun oleh Kementerian Kesehatan, dengan mempertimbangkan rasio dokter terhadap penduduk, tingkat keterpencilan, dan ketersediaan fasilitas pelayanan kesehatan rujukan terdekat.</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Indeks Kebutuhan Wilayah sebagaimana dimaksud dalam Pasal 1 ayat (2) ditinjau ulang paling sedikit setiap 2 (dua) tahun.</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Skema insentif diterapkan secara bertahap melalui uji coba pada paling sedikit 3 (tiga) provinsi terpilih sebelum diberlakukan secara nasional.</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Pengaturan Surat Izin Praktik</w:t>
      </w:r>
    </w:p>
    <w:p>
      <w:pPr>
        <w:spacing w:after="60" w:before="140"/>
      </w:pPr>
      <w:r>
        <w:rPr>
          <w:rFonts w:ascii="Arial" w:cs="Arial" w:eastAsia="Arial" w:hAnsi="Arial"/>
          <w:b/>
          <w:bCs/>
          <w:sz w:val="22"/>
          <w:szCs w:val="22"/>
        </w:rPr>
        <w:t xml:space="preserve">Pasal 3</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Kementerian Kesehatan melakukan kajian kebijakan jumlah maksimum Surat Izin Praktik yang dapat dipegang oleh satu dokter atau dokter gigi spesialis dalam waktu yang bersamaan.</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Kajian sebagaimana dimaksud pada ayat (1) memuat dampak terhadap akses masyarakat di wilayah dengan kekosongan dokter spesialis dan disampaikan kepada Menteri Kesehatan paling lambat 12 (dua belas) bulan sejak Peraturan ini berlaku.</w:t>
      </w:r>
    </w:p>
    <w:p>
      <w:pPr>
        <w:spacing w:after="60" w:before="140"/>
      </w:pPr>
      <w:r>
        <w:rPr>
          <w:rFonts w:ascii="Arial" w:cs="Arial" w:eastAsia="Arial" w:hAnsi="Arial"/>
          <w:b/>
          <w:bCs/>
          <w:sz w:val="22"/>
          <w:szCs w:val="22"/>
        </w:rPr>
        <w:t xml:space="preserve">Pasal 4</w:t>
      </w:r>
    </w:p>
    <w:p>
      <w:pPr>
        <w:spacing w:after="80"/>
        <w:ind w:left="300"/>
      </w:pPr>
      <w:r>
        <w:rPr>
          <w:rFonts w:ascii="Arial" w:cs="Arial" w:eastAsia="Arial" w:hAnsi="Arial"/>
          <w:b/>
          <w:bCs/>
          <w:sz w:val="22"/>
          <w:szCs w:val="22"/>
        </w:rPr>
        <w:t xml:space="preserve"/>
      </w:r>
      <w:r>
        <w:rPr>
          <w:rFonts w:ascii="Arial" w:cs="Arial" w:eastAsia="Arial" w:hAnsi="Arial"/>
          <w:sz w:val="22"/>
          <w:szCs w:val="22"/>
        </w:rPr>
        <w:t xml:space="preserve">Mekanisme surat tugas lintas-wilayah yang memungkinkan dokter spesialis berpraktik di daerah lain tanpa Surat Izin Praktik baru, sesuai ketentuan dalam Peraturan Pemerintah Nomor 28 Tahun 2024, dioptimalkan penggunaannya melalui basis data kebutuhan daerah yang diperbarui setiap semester.</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Mitigasi Risiko Politisasi</w:t>
      </w:r>
    </w:p>
    <w:p>
      <w:pPr>
        <w:spacing w:after="60" w:before="140"/>
      </w:pPr>
      <w:r>
        <w:rPr>
          <w:rFonts w:ascii="Arial" w:cs="Arial" w:eastAsia="Arial" w:hAnsi="Arial"/>
          <w:b/>
          <w:bCs/>
          <w:sz w:val="22"/>
          <w:szCs w:val="22"/>
        </w:rPr>
        <w:t xml:space="preserve">Pasal 5</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Setiap keputusan pembatasan atau pencabutan Surat Izin Praktik berdasarkan Peraturan ini wajib didasarkan pada kriteria objektif yang dipublikasikan, dan tidak dapat didasarkan pada penilaian terhadap pernyataan atau kritik kebijakan yang disampaikan oleh dokter yang bersangkutan.</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Setiap dokter yang dikenai pembatasan berhak mengajukan keberatan kepada unit pengawasan internal Kementerian Kesehatan.</w:t>
      </w:r>
    </w:p>
    <w:p>
      <w:pPr>
        <w:pStyle w:val="Heading2"/>
        <w:spacing w:after="120" w:before="240"/>
      </w:pPr>
      <w:r>
        <w:t xml:space="preserve">Ketentuan Penutup</w:t>
      </w:r>
    </w:p>
    <w:p>
      <w:pPr>
        <w:spacing w:after="200"/>
      </w:pPr>
      <w:r>
        <w:rPr>
          <w:rFonts w:ascii="Arial" w:cs="Arial" w:eastAsia="Arial" w:hAnsi="Arial"/>
          <w:sz w:val="22"/>
          <w:szCs w:val="22"/>
        </w:rPr>
        <w:t xml:space="preserve">Peraturan Menteri ini mulai berlaku pada tanggal diundangkan, dengan tahap uji coba sebagaimana dimaksud dalam Pasal 2 ayat (2) dilaksanakan paling lambat 6 (enam) bulan setelahnya.</w:t>
      </w:r>
    </w:p>
    <w:p>
      <w:pPr>
        <w:spacing w:before="300"/>
      </w:pPr>
      <w:r>
        <w:rPr>
          <w:rFonts w:ascii="Arial" w:cs="Arial" w:eastAsia="Arial" w:hAnsi="Arial"/>
          <w:i/>
          <w:iCs/>
          <w:color w:val="999999"/>
          <w:sz w:val="18"/>
          <w:szCs w:val="18"/>
        </w:rPr>
        <w:t xml:space="preserve">[ PLACEHOLDER — diisi saat penetapan resmi, bukan bagian dari naskah usulan ]</w:t>
      </w:r>
    </w:p>
    <w:p>
      <w:pPr>
        <w:spacing w:before="200"/>
      </w:pPr>
      <w:r>
        <w:rPr>
          <w:rFonts w:ascii="Arial" w:cs="Arial" w:eastAsia="Arial" w:hAnsi="Arial"/>
          <w:sz w:val="22"/>
          <w:szCs w:val="22"/>
        </w:rPr>
        <w:t xml:space="preserve">Ditetapkan di Jakarta</w:t>
      </w:r>
    </w:p>
    <w:p>
      <w:pPr>
        <w:spacing w:after="200"/>
      </w:pPr>
      <w:r>
        <w:rPr>
          <w:rFonts w:ascii="Arial" w:cs="Arial" w:eastAsia="Arial" w:hAnsi="Arial"/>
          <w:sz w:val="22"/>
          <w:szCs w:val="22"/>
        </w:rPr>
        <w:t xml:space="preserve">pada tanggal ......................</w:t>
      </w:r>
    </w:p>
    <w:p>
      <w:r>
        <w:rPr>
          <w:rFonts w:ascii="Arial" w:cs="Arial" w:eastAsia="Arial" w:hAnsi="Arial"/>
          <w:b/>
          <w:bCs/>
          <w:sz w:val="22"/>
          <w:szCs w:val="22"/>
        </w:rPr>
        <w:t xml:space="preserve">MENTERI KESEHATAN REPUBLIK INDONESIA,</w:t>
      </w:r>
    </w:p>
    <w:p>
      <w:pPr>
        <w:spacing w:before="600"/>
      </w:pPr>
      <w:r>
        <w:rPr>
          <w:rFonts w:ascii="Arial" w:cs="Arial" w:eastAsia="Arial" w:hAnsi="Arial"/>
          <w:sz w:val="22"/>
          <w:szCs w:val="22"/>
        </w:rPr>
        <w:t xml:space="preserve">( ...................................... )</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2 — Kesenjangan Pendapatan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2026-06-28T14:37:25.041Z</dcterms:created>
  <dcterms:modified xsi:type="dcterms:W3CDTF">2026-06-28T14:37:25.041Z</dcterms:modified>
</cp:coreProperties>
</file>

<file path=docProps/custom.xml><?xml version="1.0" encoding="utf-8"?>
<Properties xmlns="http://schemas.openxmlformats.org/officeDocument/2006/custom-properties" xmlns:vt="http://schemas.openxmlformats.org/officeDocument/2006/docPropsVTypes"/>
</file>