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dxa" w:w="9360"/>
            <w:tcBorders>
              <w:top w:val="single" w:color="C9882C" w:sz="4"/>
              <w:left w:val="single" w:color="C9882C" w:sz="4"/>
              <w:bottom w:val="single" w:color="C9882C" w:sz="4"/>
              <w:right w:val="single" w:color="C9882C" w:sz="4"/>
            </w:tcBorders>
            <w:shd w:fill="FFF3E0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8B5E2F"/>
                <w:sz w:val="21"/>
                <w:szCs w:val="21"/>
              </w:rPr>
              <w:t xml:space="preserve">STATUS DOKUMEN: RANCANGAN TEKNIS — BUKAN PRODUK HUKUM RESMI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Dokumen ini adalah bahan usulan teknis untuk mempercepat proses formal, bukan pengganti proses formal itu sendiri. Sebelum berkekuatan hukum, rancangan ini wajib melalui: (1) harmonisasi oleh Biro Hukum lembaga terkait, (2) pengecekan kesesuaian dengan peraturan yang lebih tinggi, (3) sesuai jenisnya, konsultasi publik dan/atau pembahasan lintas-kementerian, dan (4) pengundangan resmi. Ketentuan sanksi di dalamnya dibatasi pada kewenangan administratif yang sesuai dengan jenis dan jenjang lembaga penerbit; sanksi pidana hanya dapat diatur oleh undang-undang.</w:t>
            </w:r>
          </w:p>
        </w:tc>
      </w:tr>
    </w:tbl>
    <w:p>
      <w:pPr>
        <w:spacing w:after="40" w:before="200"/>
        <w:jc w:val="center"/>
      </w:pPr>
      <w:r>
        <w:rPr>
          <w:rFonts w:ascii="Arial" w:cs="Arial" w:eastAsia="Arial" w:hAnsi="Arial"/>
          <w:b/>
          <w:bCs/>
          <w:color w:val="8B5E2F"/>
          <w:sz w:val="20"/>
          <w:szCs w:val="20"/>
        </w:rPr>
        <w:t xml:space="preserve">DOKUMEN 1.3 — UNTUK: KONSIL KEDOKTERAN INDONESIA (KKI)</w:t>
      </w:r>
    </w:p>
    <w:p>
      <w:pPr>
        <w:spacing w:after="6"/>
        <w:jc w:val="center"/>
      </w:pPr>
      <w:r>
        <w:rPr>
          <w:rFonts w:ascii="Arial" w:cs="Arial" w:eastAsia="Arial" w:hAnsi="Arial"/>
          <w:color w:val="4B5A60"/>
          <w:sz w:val="22"/>
          <w:szCs w:val="22"/>
        </w:rPr>
        <w:t xml:space="preserve">Bahan Usulan Teknis — Kementerian Kesehatan RI</w:t>
      </w:r>
    </w:p>
    <w:p>
      <w:pPr>
        <w:spacing w:after="200"/>
        <w:jc w:val="center"/>
      </w:pPr>
      <w:r>
        <w:rPr>
          <w:rFonts w:ascii="Cambria" w:cs="Cambria" w:eastAsia="Cambria" w:hAnsi="Cambria"/>
          <w:b/>
          <w:bCs/>
          <w:color w:val="1F3A4D"/>
          <w:sz w:val="30"/>
          <w:szCs w:val="30"/>
        </w:rPr>
        <w:t xml:space="preserve">Rancangan Peraturan Konsil Kedokteran Indonesia tentang Eskalasi Sanksi Tingkat Lanjut atas Kasus Perundungan Pendidikan Dokter Spesialis</w:t>
      </w:r>
    </w:p>
    <w:p>
      <w:pPr>
        <w:pStyle w:val="Heading2"/>
        <w:spacing w:after="120" w:before="240"/>
      </w:pPr>
      <w:r>
        <w:t xml:space="preserve">Menimbang</w:t>
      </w:r>
    </w:p>
    <w:p>
      <w:pPr>
        <w:spacing w:after="80"/>
        <w:ind w:left="4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a.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bahwa sanksi administratif-akademik di tingkat institusi (program studi, Kolegium) tidak selalu cukup untuk kasus perundungan berat atau berulang, khususnya yang melibatkan pejabat struktural program studi;</w:t>
      </w:r>
    </w:p>
    <w:p>
      <w:pPr>
        <w:spacing w:after="80"/>
        <w:ind w:left="4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b.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bahwa diperlukan jalur eskalasi yang jelas dan terukur menuju sanksi registrasi oleh Konsil, agar kasus berat tidak berhenti pada sanksi institusional yang berpotensi melindungi pelaku senior;</w:t>
      </w:r>
    </w:p>
    <w:p>
      <w:pPr>
        <w:spacing w:after="80"/>
        <w:ind w:left="4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c.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bahwa Konsil Kedokteran Indonesia, berdasarkan Undang-Undang Nomor 29 Tahun 2004, memiliki kewenangan atas penerbitan dan pencabutan Surat Tanda Registrasi (STR) yang relevan sebagai instrumen sanksi tingkat lanjut.</w:t>
      </w:r>
    </w:p>
    <w:p>
      <w:pPr>
        <w:pStyle w:val="Heading2"/>
        <w:spacing w:after="120" w:before="240"/>
      </w:pPr>
      <w:r>
        <w:t xml:space="preserve">Mengingat</w:t>
      </w:r>
    </w:p>
    <w:p>
      <w:pPr>
        <w:spacing w:after="60"/>
        <w:ind w:left="400"/>
      </w:pPr>
      <w:r>
        <w:rPr>
          <w:rFonts w:ascii="Arial" w:cs="Arial" w:eastAsia="Arial" w:hAnsi="Arial"/>
          <w:sz w:val="22"/>
          <w:szCs w:val="22"/>
        </w:rPr>
        <w:t xml:space="preserve">1. </w:t>
      </w:r>
      <w:r>
        <w:rPr>
          <w:rFonts w:ascii="Arial" w:cs="Arial" w:eastAsia="Arial" w:hAnsi="Arial"/>
          <w:sz w:val="22"/>
          <w:szCs w:val="22"/>
        </w:rPr>
        <w:t xml:space="preserve">Undang-Undang Nomor 29 Tahun 2004 tentang Praktik Kedokteran;</w:t>
      </w:r>
    </w:p>
    <w:p>
      <w:pPr>
        <w:spacing w:after="60"/>
        <w:ind w:left="400"/>
      </w:pPr>
      <w:r>
        <w:rPr>
          <w:rFonts w:ascii="Arial" w:cs="Arial" w:eastAsia="Arial" w:hAnsi="Arial"/>
          <w:sz w:val="22"/>
          <w:szCs w:val="22"/>
        </w:rPr>
        <w:t xml:space="preserve">2. </w:t>
      </w:r>
      <w:r>
        <w:rPr>
          <w:rFonts w:ascii="Arial" w:cs="Arial" w:eastAsia="Arial" w:hAnsi="Arial"/>
          <w:sz w:val="22"/>
          <w:szCs w:val="22"/>
        </w:rPr>
        <w:t xml:space="preserve">Undang-Undang Nomor 17 Tahun 2023 tentang Kesehatan, khususnya ketentuan mengenai kewenangan Konsil menerbitkan Surat Tanda Registrasi atas nama Menteri.</w:t>
      </w:r>
    </w:p>
    <w:p>
      <w:pPr>
        <w:spacing w:after="100" w:before="20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MEMUTUSKAN:</w:t>
      </w:r>
    </w:p>
    <w:p>
      <w:pPr>
        <w:spacing w:after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Menetapkan: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PERATURAN KONSIL KEDOKTERAN INDONESIA TENTANG ESKALASI SANKSI TINGKAT LANJUT ATAS KASUS PERUNDUNGAN PENDIDIKAN DOKTER SPESIALIS.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F3A4D"/>
          <w:sz w:val="24"/>
          <w:szCs w:val="24"/>
        </w:rPr>
        <w:t xml:space="preserve">BAB I</w:t>
      </w:r>
      <w:r>
        <w:rPr>
          <w:rFonts w:ascii="Arial" w:cs="Arial" w:eastAsia="Arial" w:hAnsi="Arial"/>
          <w:b/>
          <w:bCs/>
          <w:color w:val="1F3A4D"/>
          <w:sz w:val="24"/>
          <w:szCs w:val="24"/>
        </w:rPr>
        <w:t xml:space="preserve">  Kriteria Eskalasi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Pasal 1</w:t>
      </w:r>
    </w:p>
    <w:p>
      <w:pPr>
        <w:spacing w:after="40"/>
        <w:ind w:left="3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(1) </w:t>
      </w:r>
      <w:r>
        <w:rPr>
          <w:rFonts w:ascii="Arial" w:cs="Arial" w:eastAsia="Arial" w:hAnsi="Arial"/>
          <w:sz w:val="22"/>
          <w:szCs w:val="22"/>
        </w:rPr>
        <w:t xml:space="preserve">Kasus perundungan dieskalasi dari sanksi institusional ke Konsil Kedokteran Indonesia apabila memenuhi salah satu kriteria berikut:</w:t>
      </w:r>
    </w:p>
    <w:p>
      <w:pPr>
        <w:spacing w:after="40"/>
        <w:ind w:left="700"/>
      </w:pPr>
      <w:r>
        <w:rPr>
          <w:rFonts w:ascii="Arial" w:cs="Arial" w:eastAsia="Arial" w:hAnsi="Arial"/>
          <w:sz w:val="22"/>
          <w:szCs w:val="22"/>
        </w:rPr>
        <w:t xml:space="preserve">a. </w:t>
      </w:r>
      <w:r>
        <w:rPr>
          <w:rFonts w:ascii="Arial" w:cs="Arial" w:eastAsia="Arial" w:hAnsi="Arial"/>
          <w:sz w:val="22"/>
          <w:szCs w:val="22"/>
        </w:rPr>
        <w:t xml:space="preserve">pelaku telah dikenai sanksi institusional namun terbukti melakukan pengulangan;</w:t>
      </w:r>
    </w:p>
    <w:p>
      <w:pPr>
        <w:spacing w:after="40"/>
        <w:ind w:left="700"/>
      </w:pPr>
      <w:r>
        <w:rPr>
          <w:rFonts w:ascii="Arial" w:cs="Arial" w:eastAsia="Arial" w:hAnsi="Arial"/>
          <w:sz w:val="22"/>
          <w:szCs w:val="22"/>
        </w:rPr>
        <w:t xml:space="preserve">b. </w:t>
      </w:r>
      <w:r>
        <w:rPr>
          <w:rFonts w:ascii="Arial" w:cs="Arial" w:eastAsia="Arial" w:hAnsi="Arial"/>
          <w:sz w:val="22"/>
          <w:szCs w:val="22"/>
        </w:rPr>
        <w:t xml:space="preserve">pelaku menduduki jabatan struktural pada program studi (kepala program studi, koordinator pendidikan) pada saat kejadian;</w:t>
      </w:r>
    </w:p>
    <w:p>
      <w:pPr>
        <w:spacing w:after="40"/>
        <w:ind w:left="700"/>
      </w:pPr>
      <w:r>
        <w:rPr>
          <w:rFonts w:ascii="Arial" w:cs="Arial" w:eastAsia="Arial" w:hAnsi="Arial"/>
          <w:sz w:val="22"/>
          <w:szCs w:val="22"/>
        </w:rPr>
        <w:t xml:space="preserve">c. </w:t>
      </w:r>
      <w:r>
        <w:rPr>
          <w:rFonts w:ascii="Arial" w:cs="Arial" w:eastAsia="Arial" w:hAnsi="Arial"/>
          <w:sz w:val="22"/>
          <w:szCs w:val="22"/>
        </w:rPr>
        <w:t xml:space="preserve">kasus mengakibatkan dampak fatal atau upaya percobaan menyakiti diri oleh korban;</w:t>
      </w:r>
    </w:p>
    <w:p>
      <w:pPr>
        <w:spacing w:after="40"/>
        <w:ind w:left="700"/>
      </w:pPr>
      <w:r>
        <w:rPr>
          <w:rFonts w:ascii="Arial" w:cs="Arial" w:eastAsia="Arial" w:hAnsi="Arial"/>
          <w:sz w:val="22"/>
          <w:szCs w:val="22"/>
        </w:rPr>
        <w:t xml:space="preserve">d. </w:t>
      </w:r>
      <w:r>
        <w:rPr>
          <w:rFonts w:ascii="Arial" w:cs="Arial" w:eastAsia="Arial" w:hAnsi="Arial"/>
          <w:sz w:val="22"/>
          <w:szCs w:val="22"/>
        </w:rPr>
        <w:t xml:space="preserve">institusi tidak menindaklanjuti rekomendasi sanksi dalam waktu yang ditetapkan.</w:t>
      </w:r>
    </w:p>
    <w:p>
      <w:pPr>
        <w:spacing w:after="80"/>
        <w:ind w:left="3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(2) </w:t>
      </w:r>
      <w:r>
        <w:rPr>
          <w:rFonts w:ascii="Arial" w:cs="Arial" w:eastAsia="Arial" w:hAnsi="Arial"/>
          <w:sz w:val="22"/>
          <w:szCs w:val="22"/>
        </w:rPr>
        <w:t xml:space="preserve">Rumah Sakit Pendidikan, Fakultas Kedokteran, atau Inspektorat Jenderal Kementerian Kesehatan wajib meneruskan kasus yang memenuhi kriteria ayat (1) kepada Konsil paling lambat 30 (tiga puluh) hari kerja sejak kriteria terpenuhi.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F3A4D"/>
          <w:sz w:val="24"/>
          <w:szCs w:val="24"/>
        </w:rPr>
        <w:t xml:space="preserve">BAB II</w:t>
      </w:r>
      <w:r>
        <w:rPr>
          <w:rFonts w:ascii="Arial" w:cs="Arial" w:eastAsia="Arial" w:hAnsi="Arial"/>
          <w:b/>
          <w:bCs/>
          <w:color w:val="1F3A4D"/>
          <w:sz w:val="24"/>
          <w:szCs w:val="24"/>
        </w:rPr>
        <w:t xml:space="preserve">  Jenjang Sanksi Registrasi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Pasal 2</w:t>
      </w:r>
    </w:p>
    <w:p>
      <w:pPr>
        <w:spacing w:after="40"/>
        <w:ind w:left="3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/>
      </w:r>
      <w:r>
        <w:rPr>
          <w:rFonts w:ascii="Arial" w:cs="Arial" w:eastAsia="Arial" w:hAnsi="Arial"/>
          <w:sz w:val="22"/>
          <w:szCs w:val="22"/>
        </w:rPr>
        <w:t xml:space="preserve">Sanksi registrasi yang dapat dijatuhkan Konsil terhadap pelaku terbukti, secara berjenjang sesuai tingkat keparahan, terdiri atas:</w:t>
      </w:r>
    </w:p>
    <w:p>
      <w:pPr>
        <w:spacing w:after="40"/>
        <w:ind w:left="700"/>
      </w:pPr>
      <w:r>
        <w:rPr>
          <w:rFonts w:ascii="Arial" w:cs="Arial" w:eastAsia="Arial" w:hAnsi="Arial"/>
          <w:sz w:val="22"/>
          <w:szCs w:val="22"/>
        </w:rPr>
        <w:t xml:space="preserve">a. </w:t>
      </w:r>
      <w:r>
        <w:rPr>
          <w:rFonts w:ascii="Arial" w:cs="Arial" w:eastAsia="Arial" w:hAnsi="Arial"/>
          <w:sz w:val="22"/>
          <w:szCs w:val="22"/>
        </w:rPr>
        <w:t xml:space="preserve">peringatan tertulis dari Konsil yang dicatat dalam riwayat registrasi;</w:t>
      </w:r>
    </w:p>
    <w:p>
      <w:pPr>
        <w:spacing w:after="40"/>
        <w:ind w:left="700"/>
      </w:pPr>
      <w:r>
        <w:rPr>
          <w:rFonts w:ascii="Arial" w:cs="Arial" w:eastAsia="Arial" w:hAnsi="Arial"/>
          <w:sz w:val="22"/>
          <w:szCs w:val="22"/>
        </w:rPr>
        <w:t xml:space="preserve">b. </w:t>
      </w:r>
      <w:r>
        <w:rPr>
          <w:rFonts w:ascii="Arial" w:cs="Arial" w:eastAsia="Arial" w:hAnsi="Arial"/>
          <w:sz w:val="22"/>
          <w:szCs w:val="22"/>
        </w:rPr>
        <w:t xml:space="preserve">pencabutan Surat Tanda Registrasi untuk jangka waktu tertentu;</w:t>
      </w:r>
    </w:p>
    <w:p>
      <w:pPr>
        <w:spacing w:after="40"/>
        <w:ind w:left="700"/>
      </w:pPr>
      <w:r>
        <w:rPr>
          <w:rFonts w:ascii="Arial" w:cs="Arial" w:eastAsia="Arial" w:hAnsi="Arial"/>
          <w:sz w:val="22"/>
          <w:szCs w:val="22"/>
        </w:rPr>
        <w:t xml:space="preserve">c. </w:t>
      </w:r>
      <w:r>
        <w:rPr>
          <w:rFonts w:ascii="Arial" w:cs="Arial" w:eastAsia="Arial" w:hAnsi="Arial"/>
          <w:sz w:val="22"/>
          <w:szCs w:val="22"/>
        </w:rPr>
        <w:t xml:space="preserve">pencabutan Surat Tanda Registrasi secara permanen, untuk kasus dengan dampak fatal atau pengulangan setelah pencabutan sementara.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F3A4D"/>
          <w:sz w:val="24"/>
          <w:szCs w:val="24"/>
        </w:rPr>
        <w:t xml:space="preserve">BAB III</w:t>
      </w:r>
      <w:r>
        <w:rPr>
          <w:rFonts w:ascii="Arial" w:cs="Arial" w:eastAsia="Arial" w:hAnsi="Arial"/>
          <w:b/>
          <w:bCs/>
          <w:color w:val="1F3A4D"/>
          <w:sz w:val="24"/>
          <w:szCs w:val="24"/>
        </w:rPr>
        <w:t xml:space="preserve">  Hak Pembelaan Diri dan Tata Cara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Pasal 3</w:t>
      </w:r>
    </w:p>
    <w:p>
      <w:pPr>
        <w:spacing w:after="80"/>
        <w:ind w:left="3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(1) </w:t>
      </w:r>
      <w:r>
        <w:rPr>
          <w:rFonts w:ascii="Arial" w:cs="Arial" w:eastAsia="Arial" w:hAnsi="Arial"/>
          <w:sz w:val="22"/>
          <w:szCs w:val="22"/>
        </w:rPr>
        <w:t xml:space="preserve">Pihak yang diusulkan untuk dikenai sanksi registrasi berhak mendapatkan audiensi di hadapan Majelis yang dibentuk Konsil sebelum keputusan dijatuhkan.</w:t>
      </w:r>
    </w:p>
    <w:p>
      <w:pPr>
        <w:spacing w:after="80"/>
        <w:ind w:left="3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(2) </w:t>
      </w:r>
      <w:r>
        <w:rPr>
          <w:rFonts w:ascii="Arial" w:cs="Arial" w:eastAsia="Arial" w:hAnsi="Arial"/>
          <w:sz w:val="22"/>
          <w:szCs w:val="22"/>
        </w:rPr>
        <w:t xml:space="preserve">Pihak yang dikenai sanksi berhak mengajukan banding sesuai mekanisme yang berlaku pada Konsil.</w:t>
      </w:r>
    </w:p>
    <w:p>
      <w:pPr>
        <w:pStyle w:val="Heading2"/>
        <w:spacing w:after="120" w:before="240"/>
      </w:pPr>
      <w:r>
        <w:t xml:space="preserve">Ketentuan Penutup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Peraturan ini mulai berlaku pada tanggal ditetapkan oleh Konsil Kedokteran Indonesia.</w:t>
      </w:r>
    </w:p>
    <w:p>
      <w:pPr>
        <w:spacing w:before="300"/>
      </w:pPr>
      <w:r>
        <w:rPr>
          <w:rFonts w:ascii="Arial" w:cs="Arial" w:eastAsia="Arial" w:hAnsi="Arial"/>
          <w:i/>
          <w:iCs/>
          <w:color w:val="999999"/>
          <w:sz w:val="18"/>
          <w:szCs w:val="18"/>
        </w:rPr>
        <w:t xml:space="preserve">[ PLACEHOLDER — diisi saat penetapan resmi, bukan bagian dari naskah usulan ]</w:t>
      </w:r>
    </w:p>
    <w:p>
      <w:pPr>
        <w:spacing w:before="200"/>
      </w:pPr>
      <w:r>
        <w:rPr>
          <w:rFonts w:ascii="Arial" w:cs="Arial" w:eastAsia="Arial" w:hAnsi="Arial"/>
          <w:sz w:val="22"/>
          <w:szCs w:val="22"/>
        </w:rPr>
        <w:t xml:space="preserve">Ditetapkan di Jakarta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pada tanggal ......................</w:t>
      </w:r>
    </w:p>
    <w:p>
      <w:r>
        <w:rPr>
          <w:rFonts w:ascii="Arial" w:cs="Arial" w:eastAsia="Arial" w:hAnsi="Arial"/>
          <w:b/>
          <w:bCs/>
          <w:sz w:val="22"/>
          <w:szCs w:val="22"/>
        </w:rPr>
        <w:t xml:space="preserve">KETUA KONSIL KEDOKTERAN INDONESIA,</w:t>
      </w:r>
    </w:p>
    <w:p>
      <w:pPr>
        <w:spacing w:before="600"/>
      </w:pPr>
      <w:r>
        <w:rPr>
          <w:rFonts w:ascii="Arial" w:cs="Arial" w:eastAsia="Arial" w:hAnsi="Arial"/>
          <w:sz w:val="22"/>
          <w:szCs w:val="22"/>
        </w:rPr>
        <w:t xml:space="preserve">( ...................................... )</w:t>
      </w:r>
    </w:p>
    <w:sectPr>
      <w:headerReference w:type="default" r:id="rId7"/>
      <w:footerReference w:type="default" r:id="rId8"/>
      <w:pgSz w:w="12240" w:h="15840" w:orient="portrait"/>
      <w:pgMar w:top="1300" w:right="1300" w:bottom="13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6"/>
        <w:szCs w:val="16"/>
      </w:rPr>
      <w:t xml:space="preserve">Halaman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999999"/>
        <w:sz w:val="16"/>
        <w:szCs w:val="16"/>
      </w:rPr>
      <w:t xml:space="preserve"> dari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999999"/>
        <w:sz w:val="16"/>
        <w:szCs w:val="16"/>
      </w:rPr>
      <w:t xml:space="preserve">Klaster 1 — Perundungan PPDS · Edisi Juni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00"/>
    </w:pPr>
    <w:rPr>
      <w:rFonts w:ascii="Arial" w:cs="Arial" w:eastAsia="Arial" w:hAnsi="Arial"/>
      <w:b/>
      <w:bCs/>
      <w:color w:val="1F3A4D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100" w:before="160"/>
    </w:pPr>
    <w:rPr>
      <w:rFonts w:ascii="Arial" w:cs="Arial" w:eastAsia="Arial" w:hAnsi="Arial"/>
      <w:b/>
      <w:bCs/>
      <w:color w:val="8B5E2F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2026-06-28T09:22:20.619Z</dcterms:created>
  <dcterms:modified xsi:type="dcterms:W3CDTF">2026-06-28T09:22:20.619Z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