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C9882C" w:sz="4"/>
              <w:left w:val="single" w:color="C9882C" w:sz="4"/>
              <w:bottom w:val="single" w:color="C9882C" w:sz="4"/>
              <w:right w:val="single" w:color="C9882C" w:sz="4"/>
            </w:tcBorders>
            <w:shd w:fill="FFF3E0" w:val="clear"/>
            <w:tcMar>
              <w:top w:type="dxa" w:w="160"/>
              <w:left w:type="dxa" w:w="200"/>
              <w:bottom w:type="dxa" w:w="160"/>
              <w:right w:type="dxa" w:w="200"/>
            </w:tcMar>
          </w:tcPr>
          <w:p>
            <w:r>
              <w:rPr>
                <w:rFonts w:ascii="Arial" w:cs="Arial" w:eastAsia="Arial" w:hAnsi="Arial"/>
                <w:b/>
                <w:bCs/>
                <w:color w:val="8B5E2F"/>
                <w:sz w:val="21"/>
                <w:szCs w:val="21"/>
              </w:rPr>
              <w:t xml:space="preserve">STATUS DOKUMEN: RANCANGAN TEKNIS — BUKAN PRODUK HUKUM RESMI</w:t>
            </w:r>
          </w:p>
          <w:p>
            <w:pPr>
              <w:spacing w:before="80"/>
            </w:pPr>
            <w:r>
              <w:rPr>
                <w:rFonts w:ascii="Arial" w:cs="Arial" w:eastAsia="Arial" w:hAnsi="Arial"/>
                <w:i/>
                <w:iCs/>
                <w:sz w:val="18"/>
                <w:szCs w:val="18"/>
              </w:rPr>
              <w:t xml:space="preserve">Dokumen ini adalah bahan usulan teknis untuk mempercepat proses formal, bukan pengganti proses formal itu sendiri. Sebelum berkekuatan hukum, rancangan ini wajib melalui: (1) harmonisasi oleh Biro Hukum lembaga terkait, (2) pengecekan kesesuaian dengan peraturan yang lebih tinggi, (3) sesuai jenisnya, konsultasi publik dan/atau pembahasan lintas-kementerian, dan (4) pengundangan resmi. Ketentuan sanksi di dalamnya dibatasi pada kewenangan administratif yang sesuai dengan jenis dan jenjang lembaga penerbit; sanksi pidana hanya dapat diatur oleh undang-undang.</w:t>
            </w:r>
          </w:p>
        </w:tc>
      </w:tr>
    </w:tbl>
    <w:p>
      <w:pPr>
        <w:spacing w:after="40" w:before="200"/>
        <w:jc w:val="center"/>
      </w:pPr>
      <w:r>
        <w:rPr>
          <w:rFonts w:ascii="Arial" w:cs="Arial" w:eastAsia="Arial" w:hAnsi="Arial"/>
          <w:b/>
          <w:bCs/>
          <w:color w:val="8B5E2F"/>
          <w:sz w:val="20"/>
          <w:szCs w:val="20"/>
        </w:rPr>
        <w:t xml:space="preserve">DOKUMEN 1.1 — UNTUK: KOLEGIUM / ORGANISASI PROFESI SPESIALIS</w:t>
      </w:r>
    </w:p>
    <w:p>
      <w:pPr>
        <w:spacing w:after="6"/>
        <w:jc w:val="center"/>
      </w:pPr>
      <w:r>
        <w:rPr>
          <w:rFonts w:ascii="Arial" w:cs="Arial" w:eastAsia="Arial" w:hAnsi="Arial"/>
          <w:color w:val="4B5A60"/>
          <w:sz w:val="22"/>
          <w:szCs w:val="22"/>
        </w:rPr>
        <w:t xml:space="preserve">Bahan Usulan Teknis — Kementerian Kesehatan RI</w:t>
      </w:r>
    </w:p>
    <w:p>
      <w:pPr>
        <w:spacing w:after="200"/>
        <w:jc w:val="center"/>
      </w:pPr>
      <w:r>
        <w:rPr>
          <w:rFonts w:ascii="Cambria" w:cs="Cambria" w:eastAsia="Cambria" w:hAnsi="Cambria"/>
          <w:b/>
          <w:bCs/>
          <w:color w:val="1F3A4D"/>
          <w:sz w:val="30"/>
          <w:szCs w:val="30"/>
        </w:rPr>
        <w:t xml:space="preserve">Rancangan Peraturan Kolegium tentang Pemisahan Otoritas Evaluasi Akademik dan Otoritas Operasional Klinis dalam Pendidikan Dokter Spesialis</w:t>
      </w:r>
    </w:p>
    <w:p>
      <w:pPr>
        <w:pStyle w:val="Heading2"/>
        <w:spacing w:after="120" w:before="240"/>
      </w:pPr>
      <w:r>
        <w:t xml:space="preserve">Menimbang</w:t>
      </w:r>
    </w:p>
    <w:p>
      <w:pPr>
        <w:spacing w:after="80"/>
        <w:ind w:left="400"/>
      </w:pPr>
      <w:r>
        <w:rPr>
          <w:rFonts w:ascii="Arial" w:cs="Arial" w:eastAsia="Arial" w:hAnsi="Arial"/>
          <w:b/>
          <w:bCs/>
          <w:sz w:val="22"/>
          <w:szCs w:val="22"/>
        </w:rPr>
        <w:t xml:space="preserve">a. </w:t>
      </w:r>
      <w:r>
        <w:rPr>
          <w:rFonts w:ascii="Arial" w:cs="Arial" w:eastAsia="Arial" w:hAnsi="Arial"/>
          <w:i/>
          <w:iCs/>
          <w:sz w:val="22"/>
          <w:szCs w:val="22"/>
        </w:rPr>
        <w:t xml:space="preserve">bahwa pendidikan dokter spesialis memerlukan iklim akademik yang aman, bermutu, dan bebas dari intimidasi maupun perundungan;</w:t>
      </w:r>
    </w:p>
    <w:p>
      <w:pPr>
        <w:spacing w:after="80"/>
        <w:ind w:left="400"/>
      </w:pPr>
      <w:r>
        <w:rPr>
          <w:rFonts w:ascii="Arial" w:cs="Arial" w:eastAsia="Arial" w:hAnsi="Arial"/>
          <w:b/>
          <w:bCs/>
          <w:sz w:val="22"/>
          <w:szCs w:val="22"/>
        </w:rPr>
        <w:t xml:space="preserve">b. </w:t>
      </w:r>
      <w:r>
        <w:rPr>
          <w:rFonts w:ascii="Arial" w:cs="Arial" w:eastAsia="Arial" w:hAnsi="Arial"/>
          <w:i/>
          <w:iCs/>
          <w:sz w:val="22"/>
          <w:szCs w:val="22"/>
        </w:rPr>
        <w:t xml:space="preserve">bahwa otoritas evaluasi akademik (penentu kelulusan) dan otoritas operasional klinis harian (atasan kerja) yang terpusat pada pihak yang sama menciptakan ketergantungan peserta didik yang berpotensi disalahgunakan dan menghambat keberanian melapor;</w:t>
      </w:r>
    </w:p>
    <w:p>
      <w:pPr>
        <w:spacing w:after="80"/>
        <w:ind w:left="400"/>
      </w:pPr>
      <w:r>
        <w:rPr>
          <w:rFonts w:ascii="Arial" w:cs="Arial" w:eastAsia="Arial" w:hAnsi="Arial"/>
          <w:b/>
          <w:bCs/>
          <w:sz w:val="22"/>
          <w:szCs w:val="22"/>
        </w:rPr>
        <w:t xml:space="preserve">c. </w:t>
      </w:r>
      <w:r>
        <w:rPr>
          <w:rFonts w:ascii="Arial" w:cs="Arial" w:eastAsia="Arial" w:hAnsi="Arial"/>
          <w:i/>
          <w:iCs/>
          <w:sz w:val="22"/>
          <w:szCs w:val="22"/>
        </w:rPr>
        <w:t xml:space="preserve">bahwa diperlukan standar akademik nasional yang memisahkan kedua otoritas tersebut secara struktural, bukan sekadar imbauan etik;</w:t>
      </w:r>
    </w:p>
    <w:p>
      <w:pPr>
        <w:spacing w:after="80"/>
        <w:ind w:left="400"/>
      </w:pPr>
      <w:r>
        <w:rPr>
          <w:rFonts w:ascii="Arial" w:cs="Arial" w:eastAsia="Arial" w:hAnsi="Arial"/>
          <w:b/>
          <w:bCs/>
          <w:sz w:val="22"/>
          <w:szCs w:val="22"/>
        </w:rPr>
        <w:t xml:space="preserve">d. </w:t>
      </w:r>
      <w:r>
        <w:rPr>
          <w:rFonts w:ascii="Arial" w:cs="Arial" w:eastAsia="Arial" w:hAnsi="Arial"/>
          <w:i/>
          <w:iCs/>
          <w:sz w:val="22"/>
          <w:szCs w:val="22"/>
        </w:rPr>
        <w:t xml:space="preserve">bahwa Kementerian Kesehatan telah mencatat 733 kasus perundungan terverifikasi (per Agustus 2025) yang tersebar di 24 program studi, sehingga intervensi pada tingkat standar pendidikan—bukan hanya penanganan kasus per kasus—menjadi mendesak.</w:t>
      </w:r>
    </w:p>
    <w:p>
      <w:pPr>
        <w:pStyle w:val="Heading2"/>
        <w:spacing w:after="120" w:before="240"/>
      </w:pPr>
      <w:r>
        <w:t xml:space="preserve">Mengingat</w:t>
      </w:r>
    </w:p>
    <w:p>
      <w:pPr>
        <w:spacing w:after="60"/>
        <w:ind w:left="400"/>
      </w:pPr>
      <w:r>
        <w:rPr>
          <w:rFonts w:ascii="Arial" w:cs="Arial" w:eastAsia="Arial" w:hAnsi="Arial"/>
          <w:sz w:val="22"/>
          <w:szCs w:val="22"/>
        </w:rPr>
        <w:t xml:space="preserve">1. </w:t>
      </w:r>
      <w:r>
        <w:rPr>
          <w:rFonts w:ascii="Arial" w:cs="Arial" w:eastAsia="Arial" w:hAnsi="Arial"/>
          <w:sz w:val="22"/>
          <w:szCs w:val="22"/>
        </w:rPr>
        <w:t xml:space="preserve">Undang-Undang Nomor 17 Tahun 2023 tentang Kesehatan, khususnya BAB VII tentang Sumber Daya Manusia Kesehatan (Pasal 197 sampai dengan Pasal 313) — yang telah mencabut dan menggantikan Undang-Undang Nomor 29 Tahun 2004 tentang Praktik Kedokteran dan Undang-Undang Nomor 20 Tahun 2013 tentang Pendidikan Kedokteran;</w:t>
      </w:r>
    </w:p>
    <w:p>
      <w:pPr>
        <w:spacing w:after="60"/>
        <w:ind w:left="400"/>
      </w:pPr>
      <w:r>
        <w:rPr>
          <w:rFonts w:ascii="Arial" w:cs="Arial" w:eastAsia="Arial" w:hAnsi="Arial"/>
          <w:sz w:val="22"/>
          <w:szCs w:val="22"/>
        </w:rPr>
        <w:t xml:space="preserve">2. </w:t>
      </w:r>
      <w:r>
        <w:rPr>
          <w:rFonts w:ascii="Arial" w:cs="Arial" w:eastAsia="Arial" w:hAnsi="Arial"/>
          <w:sz w:val="22"/>
          <w:szCs w:val="22"/>
        </w:rPr>
        <w:t xml:space="preserve">Peraturan Pemerintah Nomor 28 Tahun 2024 tentang Peraturan Pelaksanaan Undang-Undang Nomor 17 Tahun 2023 tentang Kesehatan;</w:t>
      </w:r>
    </w:p>
    <w:p>
      <w:pPr>
        <w:spacing w:after="60"/>
        <w:ind w:left="400"/>
      </w:pPr>
      <w:r>
        <w:rPr>
          <w:rFonts w:ascii="Arial" w:cs="Arial" w:eastAsia="Arial" w:hAnsi="Arial"/>
          <w:sz w:val="22"/>
          <w:szCs w:val="22"/>
        </w:rPr>
        <w:t xml:space="preserve">3. </w:t>
      </w:r>
      <w:r>
        <w:rPr>
          <w:rFonts w:ascii="Arial" w:cs="Arial" w:eastAsia="Arial" w:hAnsi="Arial"/>
          <w:sz w:val="22"/>
          <w:szCs w:val="22"/>
        </w:rPr>
        <w:t xml:space="preserve">Instruksi Menteri Kesehatan Nomor HK.02.01/Menkes/1512/2023 tentang Pencegahan dan Perundungan Terhadap Peserta Didik pada Rumah Sakit Pendidikan di Lingkungan Kementerian Kesehatan.</w:t>
      </w:r>
    </w:p>
    <w:p>
      <w:pPr>
        <w:spacing w:after="100" w:before="200"/>
        <w:jc w:val="center"/>
      </w:pPr>
      <w:r>
        <w:rPr>
          <w:rFonts w:ascii="Arial" w:cs="Arial" w:eastAsia="Arial" w:hAnsi="Arial"/>
          <w:b/>
          <w:bCs/>
          <w:sz w:val="22"/>
          <w:szCs w:val="22"/>
        </w:rPr>
        <w:t xml:space="preserve">MEMUTUSKAN:</w:t>
      </w:r>
    </w:p>
    <w:p>
      <w:pPr>
        <w:spacing w:after="200"/>
      </w:pPr>
      <w:r>
        <w:rPr>
          <w:rFonts w:ascii="Arial" w:cs="Arial" w:eastAsia="Arial" w:hAnsi="Arial"/>
          <w:b/>
          <w:bCs/>
          <w:sz w:val="22"/>
          <w:szCs w:val="22"/>
        </w:rPr>
        <w:t xml:space="preserve">Menetapkan: </w:t>
      </w:r>
      <w:r>
        <w:rPr>
          <w:rFonts w:ascii="Arial" w:cs="Arial" w:eastAsia="Arial" w:hAnsi="Arial"/>
          <w:b/>
          <w:bCs/>
          <w:sz w:val="22"/>
          <w:szCs w:val="22"/>
        </w:rPr>
        <w:t xml:space="preserve">PERATURAN KOLEGIUM TENTANG PEMISAHAN OTORITAS EVALUASI AKADEMIK DAN OTORITAS OPERASIONAL KLINIS DALAM PENDIDIKAN DOKTER SPESIALIS.</w:t>
      </w:r>
    </w:p>
    <w:p>
      <w:pPr>
        <w:spacing w:after="120" w:before="280"/>
      </w:pPr>
      <w:r>
        <w:rPr>
          <w:rFonts w:ascii="Arial" w:cs="Arial" w:eastAsia="Arial" w:hAnsi="Arial"/>
          <w:b/>
          <w:bCs/>
          <w:color w:val="1F3A4D"/>
          <w:sz w:val="24"/>
          <w:szCs w:val="24"/>
        </w:rPr>
        <w:t xml:space="preserve">BAB I</w:t>
      </w:r>
      <w:r>
        <w:rPr>
          <w:rFonts w:ascii="Arial" w:cs="Arial" w:eastAsia="Arial" w:hAnsi="Arial"/>
          <w:b/>
          <w:bCs/>
          <w:color w:val="1F3A4D"/>
          <w:sz w:val="24"/>
          <w:szCs w:val="24"/>
        </w:rPr>
        <w:t xml:space="preserve">  Ketentuan Umum</w:t>
      </w:r>
    </w:p>
    <w:p>
      <w:pPr>
        <w:spacing w:after="60" w:before="140"/>
      </w:pPr>
      <w:r>
        <w:rPr>
          <w:rFonts w:ascii="Arial" w:cs="Arial" w:eastAsia="Arial" w:hAnsi="Arial"/>
          <w:b/>
          <w:bCs/>
          <w:sz w:val="22"/>
          <w:szCs w:val="22"/>
        </w:rPr>
        <w:t xml:space="preserve">Pasal 1</w:t>
      </w:r>
    </w:p>
    <w:p>
      <w:pPr>
        <w:spacing w:after="40"/>
        <w:ind w:left="300"/>
      </w:pPr>
      <w:r>
        <w:rPr>
          <w:rFonts w:ascii="Arial" w:cs="Arial" w:eastAsia="Arial" w:hAnsi="Arial"/>
          <w:b/>
          <w:bCs/>
          <w:sz w:val="22"/>
          <w:szCs w:val="22"/>
        </w:rPr>
        <w:t xml:space="preserve"/>
      </w:r>
      <w:r>
        <w:rPr>
          <w:rFonts w:ascii="Arial" w:cs="Arial" w:eastAsia="Arial" w:hAnsi="Arial"/>
          <w:sz w:val="22"/>
          <w:szCs w:val="22"/>
        </w:rPr>
        <w:t xml:space="preserve">Dalam Peraturan Kolegium ini yang dimaksud dengan:</w:t>
      </w:r>
    </w:p>
    <w:p>
      <w:pPr>
        <w:spacing w:after="40"/>
        <w:ind w:left="700"/>
      </w:pPr>
      <w:r>
        <w:rPr>
          <w:rFonts w:ascii="Arial" w:cs="Arial" w:eastAsia="Arial" w:hAnsi="Arial"/>
          <w:sz w:val="22"/>
          <w:szCs w:val="22"/>
        </w:rPr>
        <w:t xml:space="preserve">a. </w:t>
      </w:r>
      <w:r>
        <w:rPr>
          <w:rFonts w:ascii="Arial" w:cs="Arial" w:eastAsia="Arial" w:hAnsi="Arial"/>
          <w:sz w:val="22"/>
          <w:szCs w:val="22"/>
        </w:rPr>
        <w:t xml:space="preserve">Tim Evaluasi Akademik adalah tim yang berwenang menentukan kelulusan tahap pendidikan peserta didik program pendidikan dokter spesialis (PPDS).</w:t>
      </w:r>
    </w:p>
    <w:p>
      <w:pPr>
        <w:spacing w:after="40"/>
        <w:ind w:left="700"/>
      </w:pPr>
      <w:r>
        <w:rPr>
          <w:rFonts w:ascii="Arial" w:cs="Arial" w:eastAsia="Arial" w:hAnsi="Arial"/>
          <w:sz w:val="22"/>
          <w:szCs w:val="22"/>
        </w:rPr>
        <w:t xml:space="preserve">b. </w:t>
      </w:r>
      <w:r>
        <w:rPr>
          <w:rFonts w:ascii="Arial" w:cs="Arial" w:eastAsia="Arial" w:hAnsi="Arial"/>
          <w:sz w:val="22"/>
          <w:szCs w:val="22"/>
        </w:rPr>
        <w:t xml:space="preserve">Supervisor Klinis Harian adalah konsulen atau dokter spesialis senior yang memberikan bimbingan dan penugasan klinis sehari-hari kepada peserta didik.</w:t>
      </w:r>
    </w:p>
    <w:p>
      <w:pPr>
        <w:spacing w:after="40"/>
        <w:ind w:left="700"/>
      </w:pPr>
      <w:r>
        <w:rPr>
          <w:rFonts w:ascii="Arial" w:cs="Arial" w:eastAsia="Arial" w:hAnsi="Arial"/>
          <w:sz w:val="22"/>
          <w:szCs w:val="22"/>
        </w:rPr>
        <w:t xml:space="preserve">c. </w:t>
      </w:r>
      <w:r>
        <w:rPr>
          <w:rFonts w:ascii="Arial" w:cs="Arial" w:eastAsia="Arial" w:hAnsi="Arial"/>
          <w:sz w:val="22"/>
          <w:szCs w:val="22"/>
        </w:rPr>
        <w:t xml:space="preserve">Examiner Eksternal adalah penilai dari luar program studi dan/atau luar institusi yang ditugaskan mendampingi penilaian kelulusan tahap akhir.</w:t>
      </w:r>
    </w:p>
    <w:p>
      <w:pPr>
        <w:spacing w:after="120" w:before="280"/>
      </w:pPr>
      <w:r>
        <w:rPr>
          <w:rFonts w:ascii="Arial" w:cs="Arial" w:eastAsia="Arial" w:hAnsi="Arial"/>
          <w:b/>
          <w:bCs/>
          <w:color w:val="1F3A4D"/>
          <w:sz w:val="24"/>
          <w:szCs w:val="24"/>
        </w:rPr>
        <w:t xml:space="preserve">BAB II</w:t>
      </w:r>
      <w:r>
        <w:rPr>
          <w:rFonts w:ascii="Arial" w:cs="Arial" w:eastAsia="Arial" w:hAnsi="Arial"/>
          <w:b/>
          <w:bCs/>
          <w:color w:val="1F3A4D"/>
          <w:sz w:val="24"/>
          <w:szCs w:val="24"/>
        </w:rPr>
        <w:t xml:space="preserve">  Pemisahan Otoritas Evaluasi</w:t>
      </w:r>
    </w:p>
    <w:p>
      <w:pPr>
        <w:spacing w:after="60" w:before="140"/>
      </w:pPr>
      <w:r>
        <w:rPr>
          <w:rFonts w:ascii="Arial" w:cs="Arial" w:eastAsia="Arial" w:hAnsi="Arial"/>
          <w:b/>
          <w:bCs/>
          <w:sz w:val="22"/>
          <w:szCs w:val="22"/>
        </w:rPr>
        <w:t xml:space="preserve">Pasal 2</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Setiap program studi pendidikan dokter spesialis wajib membentuk Tim Evaluasi Akademik yang anggotanya tidak boleh seluruhnya terdiri dari Supervisor Klinis Harian peserta didik yang dinilai.</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Tim Evaluasi Akademik sebagaimana dimaksud pada ayat (1) bertanggung jawab langsung kepada pimpinan program studi, dan keputusannya tidak dapat dianulir secara sepihak oleh Supervisor Klinis Harian.</w:t>
      </w:r>
    </w:p>
    <w:p>
      <w:pPr>
        <w:spacing w:after="60" w:before="140"/>
      </w:pPr>
      <w:r>
        <w:rPr>
          <w:rFonts w:ascii="Arial" w:cs="Arial" w:eastAsia="Arial" w:hAnsi="Arial"/>
          <w:b/>
          <w:bCs/>
          <w:sz w:val="22"/>
          <w:szCs w:val="22"/>
        </w:rPr>
        <w:t xml:space="preserve">Pasal 3</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Penilaian kelulusan tahap akhir program pendidikan dokter spesialis wajib melibatkan paling sedikit satu Examiner Eksternal yang tidak memiliki relasi kerja klinis langsung dengan peserta didik yang dinilai.</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Examiner Eksternal sebagaimana dimaksud pada ayat (1) ditetapkan oleh Kolegium atas usulan program studi, dengan rotasi paling lambat setiap 2 (dua) tahun untuk mencegah relasi yang terlalu erat dengan satu program studi tertentu.</w:t>
      </w:r>
    </w:p>
    <w:p>
      <w:pPr>
        <w:spacing w:after="120" w:before="280"/>
      </w:pPr>
      <w:r>
        <w:rPr>
          <w:rFonts w:ascii="Arial" w:cs="Arial" w:eastAsia="Arial" w:hAnsi="Arial"/>
          <w:b/>
          <w:bCs/>
          <w:color w:val="1F3A4D"/>
          <w:sz w:val="24"/>
          <w:szCs w:val="24"/>
        </w:rPr>
        <w:t xml:space="preserve">BAB III</w:t>
      </w:r>
      <w:r>
        <w:rPr>
          <w:rFonts w:ascii="Arial" w:cs="Arial" w:eastAsia="Arial" w:hAnsi="Arial"/>
          <w:b/>
          <w:bCs/>
          <w:color w:val="1F3A4D"/>
          <w:sz w:val="24"/>
          <w:szCs w:val="24"/>
        </w:rPr>
        <w:t xml:space="preserve">  Standar Beban Kerja dan Kesejahteraan Peserta Didik</w:t>
      </w:r>
    </w:p>
    <w:p>
      <w:pPr>
        <w:spacing w:after="60" w:before="140"/>
      </w:pPr>
      <w:r>
        <w:rPr>
          <w:rFonts w:ascii="Arial" w:cs="Arial" w:eastAsia="Arial" w:hAnsi="Arial"/>
          <w:b/>
          <w:bCs/>
          <w:sz w:val="22"/>
          <w:szCs w:val="22"/>
        </w:rPr>
        <w:t xml:space="preserve">Pasal 4</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Jam kerja klinis peserta didik program pendidikan dokter spesialis ditetapkan paling banyak 80 (delapan puluh) jam per minggu, mengacu pada standar yang telah diterapkan pada program studi Anestesiologi Universitas Diponegoro pasca-2025.</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Program studi yang tidak dapat memenuhi standar pada ayat (1) wajib melaporkan rencana pemenuhan kepada Kolegium paling lambat 6 (enam) bulan sejak Peraturan ini berlaku.</w:t>
      </w:r>
    </w:p>
    <w:p>
      <w:pPr>
        <w:spacing w:after="120" w:before="280"/>
      </w:pPr>
      <w:r>
        <w:rPr>
          <w:rFonts w:ascii="Arial" w:cs="Arial" w:eastAsia="Arial" w:hAnsi="Arial"/>
          <w:b/>
          <w:bCs/>
          <w:color w:val="1F3A4D"/>
          <w:sz w:val="24"/>
          <w:szCs w:val="24"/>
        </w:rPr>
        <w:t xml:space="preserve">BAB IV</w:t>
      </w:r>
      <w:r>
        <w:rPr>
          <w:rFonts w:ascii="Arial" w:cs="Arial" w:eastAsia="Arial" w:hAnsi="Arial"/>
          <w:b/>
          <w:bCs/>
          <w:color w:val="1F3A4D"/>
          <w:sz w:val="24"/>
          <w:szCs w:val="24"/>
        </w:rPr>
        <w:t xml:space="preserve">  Kewajiban Rujukan dan Tindak Lanjut Pelaporan</w:t>
      </w:r>
    </w:p>
    <w:p>
      <w:pPr>
        <w:spacing w:after="60" w:before="140"/>
      </w:pPr>
      <w:r>
        <w:rPr>
          <w:rFonts w:ascii="Arial" w:cs="Arial" w:eastAsia="Arial" w:hAnsi="Arial"/>
          <w:b/>
          <w:bCs/>
          <w:sz w:val="22"/>
          <w:szCs w:val="22"/>
        </w:rPr>
        <w:t xml:space="preserve">Pasal 5</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Setiap program studi wajib merujuk seluruh laporan dugaan perundungan kepada kanal resmi Kementerian Kesehatan (perundungan.kemkes.go.id) tanpa terkecuali, sebagai kanal utama yang telah berjalan sejak Juli 2023.</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Program studi dilarang menangani sendiri laporan dugaan perundungan tanpa melaporkannya ke kanal sebagaimana dimaksud pada ayat (1), kecuali untuk tindakan pengamanan segera bagi pelapor.</w:t>
      </w:r>
    </w:p>
    <w:p>
      <w:pPr>
        <w:spacing w:after="120" w:before="280"/>
      </w:pPr>
      <w:r>
        <w:rPr>
          <w:rFonts w:ascii="Arial" w:cs="Arial" w:eastAsia="Arial" w:hAnsi="Arial"/>
          <w:b/>
          <w:bCs/>
          <w:color w:val="1F3A4D"/>
          <w:sz w:val="24"/>
          <w:szCs w:val="24"/>
        </w:rPr>
        <w:t xml:space="preserve">BAB V</w:t>
      </w:r>
      <w:r>
        <w:rPr>
          <w:rFonts w:ascii="Arial" w:cs="Arial" w:eastAsia="Arial" w:hAnsi="Arial"/>
          <w:b/>
          <w:bCs/>
          <w:color w:val="1F3A4D"/>
          <w:sz w:val="24"/>
          <w:szCs w:val="24"/>
        </w:rPr>
        <w:t xml:space="preserve">  Sanksi Akademik</w:t>
      </w:r>
    </w:p>
    <w:p>
      <w:pPr>
        <w:spacing w:after="60" w:before="140"/>
      </w:pPr>
      <w:r>
        <w:rPr>
          <w:rFonts w:ascii="Arial" w:cs="Arial" w:eastAsia="Arial" w:hAnsi="Arial"/>
          <w:b/>
          <w:bCs/>
          <w:sz w:val="22"/>
          <w:szCs w:val="22"/>
        </w:rPr>
        <w:t xml:space="preserve">Pasal 6</w:t>
      </w:r>
    </w:p>
    <w:p>
      <w:pPr>
        <w:spacing w:after="40"/>
        <w:ind w:left="300"/>
      </w:pPr>
      <w:r>
        <w:rPr>
          <w:rFonts w:ascii="Arial" w:cs="Arial" w:eastAsia="Arial" w:hAnsi="Arial"/>
          <w:b/>
          <w:bCs/>
          <w:sz w:val="22"/>
          <w:szCs w:val="22"/>
        </w:rPr>
        <w:t xml:space="preserve">(1) </w:t>
      </w:r>
      <w:r>
        <w:rPr>
          <w:rFonts w:ascii="Arial" w:cs="Arial" w:eastAsia="Arial" w:hAnsi="Arial"/>
          <w:sz w:val="22"/>
          <w:szCs w:val="22"/>
        </w:rPr>
        <w:t xml:space="preserve">Sanksi akademik terhadap pelaku perundungan yang terbukti berdasarkan investigasi Inspektorat Jenderal Kementerian Kesehatan dan/atau Tim Evaluasi Akademik bersifat berjenjang, terdiri atas:</w:t>
      </w:r>
    </w:p>
    <w:p>
      <w:pPr>
        <w:spacing w:after="40"/>
        <w:ind w:left="700"/>
      </w:pPr>
      <w:r>
        <w:rPr>
          <w:rFonts w:ascii="Arial" w:cs="Arial" w:eastAsia="Arial" w:hAnsi="Arial"/>
          <w:sz w:val="22"/>
          <w:szCs w:val="22"/>
        </w:rPr>
        <w:t xml:space="preserve">a. </w:t>
      </w:r>
      <w:r>
        <w:rPr>
          <w:rFonts w:ascii="Arial" w:cs="Arial" w:eastAsia="Arial" w:hAnsi="Arial"/>
          <w:sz w:val="22"/>
          <w:szCs w:val="22"/>
        </w:rPr>
        <w:t xml:space="preserve">peringatan tertulis dan pencabutan hak membimbing peserta didik untuk sementara;</w:t>
      </w:r>
    </w:p>
    <w:p>
      <w:pPr>
        <w:spacing w:after="40"/>
        <w:ind w:left="700"/>
      </w:pPr>
      <w:r>
        <w:rPr>
          <w:rFonts w:ascii="Arial" w:cs="Arial" w:eastAsia="Arial" w:hAnsi="Arial"/>
          <w:sz w:val="22"/>
          <w:szCs w:val="22"/>
        </w:rPr>
        <w:t xml:space="preserve">b. </w:t>
      </w:r>
      <w:r>
        <w:rPr>
          <w:rFonts w:ascii="Arial" w:cs="Arial" w:eastAsia="Arial" w:hAnsi="Arial"/>
          <w:sz w:val="22"/>
          <w:szCs w:val="22"/>
        </w:rPr>
        <w:t xml:space="preserve">penundaan kenaikan jenjang akademik bagi pelaku yang berstatus peserta didik senior;</w:t>
      </w:r>
    </w:p>
    <w:p>
      <w:pPr>
        <w:spacing w:after="40"/>
        <w:ind w:left="700"/>
      </w:pPr>
      <w:r>
        <w:rPr>
          <w:rFonts w:ascii="Arial" w:cs="Arial" w:eastAsia="Arial" w:hAnsi="Arial"/>
          <w:sz w:val="22"/>
          <w:szCs w:val="22"/>
        </w:rPr>
        <w:t xml:space="preserve">c. </w:t>
      </w:r>
      <w:r>
        <w:rPr>
          <w:rFonts w:ascii="Arial" w:cs="Arial" w:eastAsia="Arial" w:hAnsi="Arial"/>
          <w:sz w:val="22"/>
          <w:szCs w:val="22"/>
        </w:rPr>
        <w:t xml:space="preserve">pencabutan rekomendasi kelulusan dan/atau pengusulan pencabutan status sebagai pembimbing kepada Kolegium.</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Sanksi sebagaimana dimaksud pada ayat (1) bersifat administratif-akademik dan tidak menghilangkan proses hukum pidana maupun disiplin profesi yang berjalan secara terpisah pada instansi yang berwenang.</w:t>
      </w:r>
    </w:p>
    <w:p>
      <w:pPr>
        <w:pStyle w:val="Heading2"/>
        <w:spacing w:after="120" w:before="240"/>
      </w:pPr>
      <w:r>
        <w:t xml:space="preserve">Ketentuan Penutup</w:t>
      </w:r>
    </w:p>
    <w:p>
      <w:pPr>
        <w:spacing w:after="200"/>
      </w:pPr>
      <w:r>
        <w:rPr>
          <w:rFonts w:ascii="Arial" w:cs="Arial" w:eastAsia="Arial" w:hAnsi="Arial"/>
          <w:sz w:val="22"/>
          <w:szCs w:val="22"/>
        </w:rPr>
        <w:t xml:space="preserve">Peraturan Kolegium ini, setelah disahkan melalui mekanisme internal Kolegium yang berlaku dan diharmonisasi dengan Kementerian Kesehatan serta Kementerian Pendidikan Tinggi, Sains, dan Teknologi, mulai berlaku efektif pada tahun akademik berikutnya setelah tanggal penetapan.</w:t>
      </w:r>
    </w:p>
    <w:p>
      <w:pPr>
        <w:spacing w:before="300"/>
      </w:pPr>
      <w:r>
        <w:rPr>
          <w:rFonts w:ascii="Arial" w:cs="Arial" w:eastAsia="Arial" w:hAnsi="Arial"/>
          <w:i/>
          <w:iCs/>
          <w:color w:val="999999"/>
          <w:sz w:val="18"/>
          <w:szCs w:val="18"/>
        </w:rPr>
        <w:t xml:space="preserve">[ PLACEHOLDER — diisi saat penetapan resmi, bukan bagian dari naskah usulan ]</w:t>
      </w:r>
    </w:p>
    <w:p>
      <w:pPr>
        <w:spacing w:before="200"/>
      </w:pPr>
      <w:r>
        <w:rPr>
          <w:rFonts w:ascii="Arial" w:cs="Arial" w:eastAsia="Arial" w:hAnsi="Arial"/>
          <w:sz w:val="22"/>
          <w:szCs w:val="22"/>
        </w:rPr>
        <w:t xml:space="preserve">Ditetapkan di Jakarta</w:t>
      </w:r>
    </w:p>
    <w:p>
      <w:pPr>
        <w:spacing w:after="200"/>
      </w:pPr>
      <w:r>
        <w:rPr>
          <w:rFonts w:ascii="Arial" w:cs="Arial" w:eastAsia="Arial" w:hAnsi="Arial"/>
          <w:sz w:val="22"/>
          <w:szCs w:val="22"/>
        </w:rPr>
        <w:t xml:space="preserve">pada tanggal ......................</w:t>
      </w:r>
    </w:p>
    <w:p>
      <w:r>
        <w:rPr>
          <w:rFonts w:ascii="Arial" w:cs="Arial" w:eastAsia="Arial" w:hAnsi="Arial"/>
          <w:b/>
          <w:bCs/>
          <w:sz w:val="22"/>
          <w:szCs w:val="22"/>
        </w:rPr>
        <w:t xml:space="preserve">KETUA KOLEGIUM,</w:t>
      </w:r>
    </w:p>
    <w:p>
      <w:pPr>
        <w:spacing w:before="600"/>
      </w:pPr>
      <w:r>
        <w:rPr>
          <w:rFonts w:ascii="Arial" w:cs="Arial" w:eastAsia="Arial" w:hAnsi="Arial"/>
          <w:sz w:val="22"/>
          <w:szCs w:val="22"/>
        </w:rPr>
        <w:t xml:space="preserve">( ...................................... )</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Halaman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dari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6"/>
        <w:szCs w:val="16"/>
      </w:rPr>
      <w:t xml:space="preserve">Klaster 1 — Perundungan PPDS · Edisi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pPr>
    <w:rPr>
      <w:rFonts w:ascii="Arial" w:cs="Arial" w:eastAsia="Arial" w:hAnsi="Arial"/>
      <w:b/>
      <w:bCs/>
      <w:color w:val="1F3A4D"/>
      <w:sz w:val="26"/>
      <w:szCs w:val="26"/>
    </w:rPr>
  </w:style>
  <w:style w:type="paragraph" w:styleId="Heading2">
    <w:name w:val="Heading 2"/>
    <w:basedOn w:val="Normal"/>
    <w:next w:val="Normal"/>
    <w:qFormat/>
    <w:pPr>
      <w:spacing w:after="100" w:before="160"/>
    </w:pPr>
    <w:rPr>
      <w:rFonts w:ascii="Arial" w:cs="Arial" w:eastAsia="Arial" w:hAnsi="Arial"/>
      <w:b/>
      <w:bCs/>
      <w:color w:val="8B5E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2026-06-28T14:37:24.752Z</dcterms:created>
  <dcterms:modified xsi:type="dcterms:W3CDTF">2026-06-28T14:37:24.752Z</dcterms:modified>
</cp:coreProperties>
</file>

<file path=docProps/custom.xml><?xml version="1.0" encoding="utf-8"?>
<Properties xmlns="http://schemas.openxmlformats.org/officeDocument/2006/custom-properties" xmlns:vt="http://schemas.openxmlformats.org/officeDocument/2006/docPropsVTypes"/>
</file>